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48CC" w14:textId="4F0FDF88" w:rsidR="003D3E64" w:rsidRDefault="6C350979" w:rsidP="0000754E">
      <w:pPr>
        <w:spacing w:after="240"/>
        <w:rPr>
          <w:b/>
          <w:bCs/>
          <w:sz w:val="24"/>
          <w:szCs w:val="24"/>
        </w:rPr>
      </w:pPr>
      <w:r w:rsidRPr="6C350979">
        <w:rPr>
          <w:b/>
          <w:bCs/>
          <w:sz w:val="24"/>
          <w:szCs w:val="24"/>
        </w:rPr>
        <w:t xml:space="preserve">PRESS RELEASE | DATE: </w:t>
      </w:r>
      <w:r w:rsidR="00EB31F4">
        <w:rPr>
          <w:b/>
          <w:bCs/>
          <w:sz w:val="24"/>
          <w:szCs w:val="24"/>
        </w:rPr>
        <w:t xml:space="preserve">August </w:t>
      </w:r>
      <w:r w:rsidR="001B6917">
        <w:rPr>
          <w:b/>
          <w:bCs/>
          <w:sz w:val="24"/>
          <w:szCs w:val="24"/>
        </w:rPr>
        <w:t>2</w:t>
      </w:r>
      <w:r w:rsidR="00F17359">
        <w:rPr>
          <w:b/>
          <w:bCs/>
          <w:sz w:val="24"/>
          <w:szCs w:val="24"/>
        </w:rPr>
        <w:t>6</w:t>
      </w:r>
      <w:r w:rsidR="0056276A">
        <w:rPr>
          <w:b/>
          <w:bCs/>
          <w:sz w:val="24"/>
          <w:szCs w:val="24"/>
        </w:rPr>
        <w:t>,</w:t>
      </w:r>
      <w:r w:rsidRPr="6C350979">
        <w:rPr>
          <w:b/>
          <w:bCs/>
          <w:sz w:val="24"/>
          <w:szCs w:val="24"/>
        </w:rPr>
        <w:t xml:space="preserve"> 2022</w:t>
      </w:r>
    </w:p>
    <w:p w14:paraId="7C50637A" w14:textId="332E4571" w:rsidR="00F02FC4" w:rsidRDefault="00D0768A" w:rsidP="00887B17">
      <w:pPr>
        <w:spacing w:before="120" w:after="240"/>
        <w:jc w:val="center"/>
        <w:rPr>
          <w:b/>
          <w:bCs/>
          <w:i/>
          <w:iCs/>
          <w:sz w:val="24"/>
          <w:szCs w:val="24"/>
        </w:rPr>
      </w:pPr>
      <w:r>
        <w:rPr>
          <w:b/>
          <w:bCs/>
          <w:i/>
          <w:iCs/>
          <w:sz w:val="24"/>
          <w:szCs w:val="24"/>
        </w:rPr>
        <w:t xml:space="preserve">HIGH </w:t>
      </w:r>
      <w:r w:rsidR="00887B17">
        <w:rPr>
          <w:b/>
          <w:bCs/>
          <w:i/>
          <w:iCs/>
          <w:sz w:val="24"/>
          <w:szCs w:val="24"/>
        </w:rPr>
        <w:t>DEMAND</w:t>
      </w:r>
      <w:r w:rsidR="00F02FC4">
        <w:rPr>
          <w:b/>
          <w:bCs/>
          <w:i/>
          <w:iCs/>
          <w:sz w:val="24"/>
          <w:szCs w:val="24"/>
        </w:rPr>
        <w:t xml:space="preserve"> FOR DEALERSHIPS</w:t>
      </w:r>
      <w:r w:rsidR="00887B17">
        <w:rPr>
          <w:b/>
          <w:bCs/>
          <w:i/>
          <w:iCs/>
          <w:sz w:val="24"/>
          <w:szCs w:val="24"/>
        </w:rPr>
        <w:t xml:space="preserve"> CONTINUES</w:t>
      </w:r>
      <w:r w:rsidR="00F02FC4">
        <w:rPr>
          <w:b/>
          <w:bCs/>
          <w:i/>
          <w:iCs/>
          <w:sz w:val="24"/>
          <w:szCs w:val="24"/>
        </w:rPr>
        <w:t xml:space="preserve"> AS PROFITS REMAIN ELEVATED </w:t>
      </w:r>
      <w:r w:rsidR="00887B17">
        <w:rPr>
          <w:b/>
          <w:bCs/>
          <w:i/>
          <w:iCs/>
          <w:sz w:val="24"/>
          <w:szCs w:val="24"/>
        </w:rPr>
        <w:br/>
      </w:r>
      <w:r w:rsidR="00F02FC4">
        <w:rPr>
          <w:b/>
          <w:bCs/>
          <w:i/>
          <w:iCs/>
          <w:sz w:val="24"/>
          <w:szCs w:val="24"/>
        </w:rPr>
        <w:t xml:space="preserve">IN SPITE OF GENERAL ECONOMIC INDICATORS </w:t>
      </w:r>
    </w:p>
    <w:p w14:paraId="4D3DD976" w14:textId="4933759A" w:rsidR="00D9094A" w:rsidRDefault="00AD53C3" w:rsidP="005F1A20">
      <w:pPr>
        <w:spacing w:before="120" w:after="120" w:line="240" w:lineRule="auto"/>
        <w:rPr>
          <w:shd w:val="clear" w:color="auto" w:fill="FFFFFF"/>
        </w:rPr>
      </w:pPr>
      <w:r w:rsidRPr="00C70AF5">
        <w:rPr>
          <w:b/>
          <w:bCs/>
        </w:rPr>
        <w:t>Fort Lauderdale, FL</w:t>
      </w:r>
      <w:r>
        <w:t>.</w:t>
      </w:r>
      <w:r w:rsidR="00C70AF5">
        <w:t>,</w:t>
      </w:r>
      <w:r>
        <w:t xml:space="preserve"> – </w:t>
      </w:r>
      <w:hyperlink r:id="rId7" w:history="1">
        <w:r w:rsidR="00BB10D2" w:rsidRPr="00C70AF5">
          <w:rPr>
            <w:rStyle w:val="Hyperlink"/>
          </w:rPr>
          <w:t>Haig Partners</w:t>
        </w:r>
        <w:r w:rsidR="00C70AF5" w:rsidRPr="00C70AF5">
          <w:rPr>
            <w:rStyle w:val="Hyperlink"/>
          </w:rPr>
          <w:t xml:space="preserve"> LLC</w:t>
        </w:r>
      </w:hyperlink>
      <w:r w:rsidR="00A75DB9">
        <w:t xml:space="preserve"> </w:t>
      </w:r>
      <w:r w:rsidR="000B7833">
        <w:t>release</w:t>
      </w:r>
      <w:r w:rsidR="008E0250">
        <w:t>d</w:t>
      </w:r>
      <w:r w:rsidR="000B7833">
        <w:t xml:space="preserve"> </w:t>
      </w:r>
      <w:r w:rsidR="00C70AF5">
        <w:t>its closely followed</w:t>
      </w:r>
      <w:r w:rsidR="00BD593E">
        <w:t xml:space="preserve"> </w:t>
      </w:r>
      <w:hyperlink r:id="rId8" w:history="1">
        <w:r w:rsidR="00734472">
          <w:rPr>
            <w:rStyle w:val="Hyperlink"/>
          </w:rPr>
          <w:t>Q</w:t>
        </w:r>
        <w:r w:rsidR="00EB31F4">
          <w:rPr>
            <w:rStyle w:val="Hyperlink"/>
          </w:rPr>
          <w:t>2</w:t>
        </w:r>
        <w:r w:rsidR="00734472">
          <w:rPr>
            <w:rStyle w:val="Hyperlink"/>
          </w:rPr>
          <w:t xml:space="preserve"> 202</w:t>
        </w:r>
        <w:r>
          <w:rPr>
            <w:rStyle w:val="Hyperlink"/>
          </w:rPr>
          <w:t>2</w:t>
        </w:r>
        <w:r w:rsidR="00734472">
          <w:rPr>
            <w:rStyle w:val="Hyperlink"/>
          </w:rPr>
          <w:t xml:space="preserve"> Haig Report</w:t>
        </w:r>
      </w:hyperlink>
      <w:r w:rsidR="00C77777">
        <w:t xml:space="preserve">, </w:t>
      </w:r>
      <w:r w:rsidR="005C11AD">
        <w:t>which</w:t>
      </w:r>
      <w:r w:rsidR="00CD7220" w:rsidRPr="6C350979">
        <w:rPr>
          <w:shd w:val="clear" w:color="auto" w:fill="FFFFFF"/>
        </w:rPr>
        <w:t xml:space="preserve"> tracks trends in auto retail and </w:t>
      </w:r>
      <w:r w:rsidR="00C355AF" w:rsidRPr="6C350979">
        <w:rPr>
          <w:shd w:val="clear" w:color="auto" w:fill="FFFFFF"/>
        </w:rPr>
        <w:t>their impact on</w:t>
      </w:r>
      <w:r w:rsidR="00CD7220" w:rsidRPr="6C350979">
        <w:rPr>
          <w:shd w:val="clear" w:color="auto" w:fill="FFFFFF"/>
        </w:rPr>
        <w:t xml:space="preserve"> dealership values</w:t>
      </w:r>
      <w:r w:rsidR="00391988" w:rsidRPr="6C350979">
        <w:rPr>
          <w:shd w:val="clear" w:color="auto" w:fill="FFFFFF"/>
        </w:rPr>
        <w:t xml:space="preserve">. </w:t>
      </w:r>
      <w:r w:rsidR="006867A4">
        <w:rPr>
          <w:shd w:val="clear" w:color="auto" w:fill="FFFFFF"/>
        </w:rPr>
        <w:t xml:space="preserve">General economic indicators </w:t>
      </w:r>
      <w:r w:rsidR="00A5732C">
        <w:rPr>
          <w:shd w:val="clear" w:color="auto" w:fill="FFFFFF"/>
        </w:rPr>
        <w:t xml:space="preserve">have weakened in 2022, but </w:t>
      </w:r>
      <w:r w:rsidR="006867A4">
        <w:rPr>
          <w:shd w:val="clear" w:color="auto" w:fill="FFFFFF"/>
        </w:rPr>
        <w:t>auto d</w:t>
      </w:r>
      <w:r w:rsidR="00D9094A">
        <w:rPr>
          <w:shd w:val="clear" w:color="auto" w:fill="FFFFFF"/>
        </w:rPr>
        <w:t>ealers continue to experience r</w:t>
      </w:r>
      <w:r w:rsidR="00EB31F4">
        <w:rPr>
          <w:shd w:val="clear" w:color="auto" w:fill="FFFFFF"/>
        </w:rPr>
        <w:t>ecord</w:t>
      </w:r>
      <w:r w:rsidR="0056276A">
        <w:rPr>
          <w:shd w:val="clear" w:color="auto" w:fill="FFFFFF"/>
        </w:rPr>
        <w:t>-high</w:t>
      </w:r>
      <w:r w:rsidRPr="6C350979">
        <w:rPr>
          <w:shd w:val="clear" w:color="auto" w:fill="FFFFFF"/>
        </w:rPr>
        <w:t xml:space="preserve"> </w:t>
      </w:r>
      <w:r w:rsidR="00D9094A">
        <w:rPr>
          <w:shd w:val="clear" w:color="auto" w:fill="FFFFFF"/>
        </w:rPr>
        <w:t>profits</w:t>
      </w:r>
      <w:r w:rsidR="00EB31F4">
        <w:rPr>
          <w:shd w:val="clear" w:color="auto" w:fill="FFFFFF"/>
        </w:rPr>
        <w:t xml:space="preserve"> </w:t>
      </w:r>
      <w:r w:rsidR="00D9094A">
        <w:rPr>
          <w:shd w:val="clear" w:color="auto" w:fill="FFFFFF"/>
        </w:rPr>
        <w:t>due to pent-up</w:t>
      </w:r>
      <w:r w:rsidR="00EB31F4">
        <w:rPr>
          <w:shd w:val="clear" w:color="auto" w:fill="FFFFFF"/>
        </w:rPr>
        <w:t xml:space="preserve"> demand and low inventor</w:t>
      </w:r>
      <w:r w:rsidR="00A5732C">
        <w:rPr>
          <w:shd w:val="clear" w:color="auto" w:fill="FFFFFF"/>
        </w:rPr>
        <w:t>ies</w:t>
      </w:r>
      <w:r w:rsidR="00D9094A">
        <w:rPr>
          <w:shd w:val="clear" w:color="auto" w:fill="FFFFFF"/>
        </w:rPr>
        <w:t xml:space="preserve">. </w:t>
      </w:r>
    </w:p>
    <w:p w14:paraId="430C49F6" w14:textId="6DC04C22" w:rsidR="000815FF" w:rsidRDefault="00A5732C" w:rsidP="005F1A20">
      <w:pPr>
        <w:spacing w:before="120" w:after="120" w:line="240" w:lineRule="auto"/>
        <w:rPr>
          <w:shd w:val="clear" w:color="auto" w:fill="FFFFFF"/>
        </w:rPr>
      </w:pPr>
      <w:r>
        <w:rPr>
          <w:shd w:val="clear" w:color="auto" w:fill="FFFFFF"/>
        </w:rPr>
        <w:t>B</w:t>
      </w:r>
      <w:r w:rsidR="00AD53C3" w:rsidRPr="6C350979">
        <w:rPr>
          <w:shd w:val="clear" w:color="auto" w:fill="FFFFFF"/>
        </w:rPr>
        <w:t xml:space="preserve">uy-sell activity </w:t>
      </w:r>
      <w:r w:rsidR="009262B9">
        <w:rPr>
          <w:shd w:val="clear" w:color="auto" w:fill="FFFFFF"/>
        </w:rPr>
        <w:t>flourished</w:t>
      </w:r>
      <w:r w:rsidR="00D9094A">
        <w:rPr>
          <w:shd w:val="clear" w:color="auto" w:fill="FFFFFF"/>
        </w:rPr>
        <w:t xml:space="preserve"> </w:t>
      </w:r>
      <w:r>
        <w:rPr>
          <w:shd w:val="clear" w:color="auto" w:fill="FFFFFF"/>
        </w:rPr>
        <w:t>in the first half of 2022, with</w:t>
      </w:r>
      <w:r w:rsidR="000815FF">
        <w:rPr>
          <w:shd w:val="clear" w:color="auto" w:fill="FFFFFF"/>
        </w:rPr>
        <w:t xml:space="preserve"> 3% </w:t>
      </w:r>
      <w:r>
        <w:rPr>
          <w:shd w:val="clear" w:color="auto" w:fill="FFFFFF"/>
        </w:rPr>
        <w:t>more dealerships sold</w:t>
      </w:r>
      <w:r w:rsidR="000815FF">
        <w:rPr>
          <w:shd w:val="clear" w:color="auto" w:fill="FFFFFF"/>
        </w:rPr>
        <w:t xml:space="preserve"> compared to the</w:t>
      </w:r>
      <w:r w:rsidR="00D9094A">
        <w:rPr>
          <w:shd w:val="clear" w:color="auto" w:fill="FFFFFF"/>
        </w:rPr>
        <w:t xml:space="preserve"> </w:t>
      </w:r>
      <w:r w:rsidR="000815FF">
        <w:rPr>
          <w:shd w:val="clear" w:color="auto" w:fill="FFFFFF"/>
        </w:rPr>
        <w:t xml:space="preserve">record-setting pace of the </w:t>
      </w:r>
      <w:r w:rsidR="00D9094A">
        <w:rPr>
          <w:shd w:val="clear" w:color="auto" w:fill="FFFFFF"/>
        </w:rPr>
        <w:t>first half of 2021</w:t>
      </w:r>
      <w:r w:rsidR="006E41AE">
        <w:rPr>
          <w:shd w:val="clear" w:color="auto" w:fill="FFFFFF"/>
        </w:rPr>
        <w:t xml:space="preserve">. </w:t>
      </w:r>
      <w:r w:rsidR="000968AC">
        <w:rPr>
          <w:shd w:val="clear" w:color="auto" w:fill="FFFFFF"/>
        </w:rPr>
        <w:t>Private buying activity is up</w:t>
      </w:r>
      <w:r w:rsidR="009262B9">
        <w:rPr>
          <w:shd w:val="clear" w:color="auto" w:fill="FFFFFF"/>
        </w:rPr>
        <w:t xml:space="preserve"> 28%</w:t>
      </w:r>
      <w:r w:rsidR="000968AC">
        <w:rPr>
          <w:shd w:val="clear" w:color="auto" w:fill="FFFFFF"/>
        </w:rPr>
        <w:t xml:space="preserve">, while acquisitions by </w:t>
      </w:r>
      <w:r w:rsidR="001F23BD">
        <w:rPr>
          <w:shd w:val="clear" w:color="auto" w:fill="FFFFFF"/>
        </w:rPr>
        <w:t xml:space="preserve">the </w:t>
      </w:r>
      <w:r w:rsidR="000968AC">
        <w:rPr>
          <w:shd w:val="clear" w:color="auto" w:fill="FFFFFF"/>
        </w:rPr>
        <w:t>public</w:t>
      </w:r>
      <w:r w:rsidR="001F23BD">
        <w:rPr>
          <w:shd w:val="clear" w:color="auto" w:fill="FFFFFF"/>
        </w:rPr>
        <w:t>ly traded</w:t>
      </w:r>
      <w:r w:rsidR="000968AC">
        <w:rPr>
          <w:shd w:val="clear" w:color="auto" w:fill="FFFFFF"/>
        </w:rPr>
        <w:t xml:space="preserve"> retailers has fallen </w:t>
      </w:r>
      <w:r w:rsidR="009262B9">
        <w:rPr>
          <w:shd w:val="clear" w:color="auto" w:fill="FFFFFF"/>
        </w:rPr>
        <w:t>62%</w:t>
      </w:r>
      <w:r w:rsidR="000968AC">
        <w:rPr>
          <w:shd w:val="clear" w:color="auto" w:fill="FFFFFF"/>
        </w:rPr>
        <w:t xml:space="preserve">. </w:t>
      </w:r>
      <w:r w:rsidR="006E41AE">
        <w:rPr>
          <w:shd w:val="clear" w:color="auto" w:fill="FFFFFF"/>
        </w:rPr>
        <w:t>The public companies acquired 23 stores in Q2 2022</w:t>
      </w:r>
      <w:r w:rsidR="000815FF">
        <w:rPr>
          <w:shd w:val="clear" w:color="auto" w:fill="FFFFFF"/>
        </w:rPr>
        <w:t xml:space="preserve"> YTD. </w:t>
      </w:r>
      <w:r w:rsidR="00321BF9">
        <w:rPr>
          <w:shd w:val="clear" w:color="auto" w:fill="FFFFFF"/>
        </w:rPr>
        <w:t>H</w:t>
      </w:r>
      <w:r w:rsidR="006E41AE">
        <w:rPr>
          <w:shd w:val="clear" w:color="auto" w:fill="FFFFFF"/>
        </w:rPr>
        <w:t xml:space="preserve">aig Partners </w:t>
      </w:r>
      <w:r w:rsidR="000815FF">
        <w:rPr>
          <w:shd w:val="clear" w:color="auto" w:fill="FFFFFF"/>
        </w:rPr>
        <w:t>serve</w:t>
      </w:r>
      <w:r>
        <w:rPr>
          <w:shd w:val="clear" w:color="auto" w:fill="FFFFFF"/>
        </w:rPr>
        <w:t>d</w:t>
      </w:r>
      <w:r w:rsidR="000815FF">
        <w:rPr>
          <w:shd w:val="clear" w:color="auto" w:fill="FFFFFF"/>
        </w:rPr>
        <w:t xml:space="preserve"> as the exclusive sell-side advisor</w:t>
      </w:r>
      <w:r w:rsidR="00077CDB">
        <w:rPr>
          <w:shd w:val="clear" w:color="auto" w:fill="FFFFFF"/>
        </w:rPr>
        <w:t xml:space="preserve"> to the Lehman Family</w:t>
      </w:r>
      <w:r w:rsidR="000968AC">
        <w:rPr>
          <w:shd w:val="clear" w:color="auto" w:fill="FFFFFF"/>
        </w:rPr>
        <w:t xml:space="preserve"> in a transaction with Lithia </w:t>
      </w:r>
      <w:r w:rsidR="00C66421">
        <w:rPr>
          <w:shd w:val="clear" w:color="auto" w:fill="FFFFFF"/>
        </w:rPr>
        <w:t>Motors</w:t>
      </w:r>
      <w:r w:rsidR="00250B8D">
        <w:rPr>
          <w:shd w:val="clear" w:color="auto" w:fill="FFFFFF"/>
        </w:rPr>
        <w:t>,</w:t>
      </w:r>
      <w:r w:rsidR="00C66421">
        <w:rPr>
          <w:shd w:val="clear" w:color="auto" w:fill="FFFFFF"/>
        </w:rPr>
        <w:t xml:space="preserve"> which</w:t>
      </w:r>
      <w:r w:rsidR="00077CDB">
        <w:rPr>
          <w:shd w:val="clear" w:color="auto" w:fill="FFFFFF"/>
        </w:rPr>
        <w:t xml:space="preserve"> represented</w:t>
      </w:r>
      <w:r w:rsidR="000815FF">
        <w:rPr>
          <w:shd w:val="clear" w:color="auto" w:fill="FFFFFF"/>
        </w:rPr>
        <w:t xml:space="preserve"> </w:t>
      </w:r>
      <w:hyperlink r:id="rId9" w:history="1">
        <w:r w:rsidR="00077CDB" w:rsidRPr="00B114D1">
          <w:rPr>
            <w:rStyle w:val="Hyperlink"/>
            <w:shd w:val="clear" w:color="auto" w:fill="FFFFFF"/>
          </w:rPr>
          <w:t xml:space="preserve">11 </w:t>
        </w:r>
        <w:r w:rsidR="000815FF" w:rsidRPr="00B114D1">
          <w:rPr>
            <w:rStyle w:val="Hyperlink"/>
            <w:shd w:val="clear" w:color="auto" w:fill="FFFFFF"/>
          </w:rPr>
          <w:t>of</w:t>
        </w:r>
        <w:r w:rsidR="00321BF9" w:rsidRPr="00B114D1">
          <w:rPr>
            <w:rStyle w:val="Hyperlink"/>
            <w:shd w:val="clear" w:color="auto" w:fill="FFFFFF"/>
          </w:rPr>
          <w:t xml:space="preserve"> th</w:t>
        </w:r>
        <w:r w:rsidR="001F23BD" w:rsidRPr="00B114D1">
          <w:rPr>
            <w:rStyle w:val="Hyperlink"/>
            <w:shd w:val="clear" w:color="auto" w:fill="FFFFFF"/>
          </w:rPr>
          <w:t>ose</w:t>
        </w:r>
        <w:r w:rsidR="00BD77FE" w:rsidRPr="00B114D1">
          <w:rPr>
            <w:rStyle w:val="Hyperlink"/>
            <w:shd w:val="clear" w:color="auto" w:fill="FFFFFF"/>
          </w:rPr>
          <w:t xml:space="preserve"> </w:t>
        </w:r>
        <w:r w:rsidR="000968AC" w:rsidRPr="00B114D1">
          <w:rPr>
            <w:rStyle w:val="Hyperlink"/>
            <w:shd w:val="clear" w:color="auto" w:fill="FFFFFF"/>
          </w:rPr>
          <w:t>dealerships</w:t>
        </w:r>
      </w:hyperlink>
      <w:r w:rsidR="006E41AE">
        <w:rPr>
          <w:shd w:val="clear" w:color="auto" w:fill="FFFFFF"/>
        </w:rPr>
        <w:t xml:space="preserve">. </w:t>
      </w:r>
    </w:p>
    <w:p w14:paraId="251C5EF2" w14:textId="5B756A32" w:rsidR="00145022" w:rsidRDefault="00321BF9" w:rsidP="005F1A20">
      <w:pPr>
        <w:spacing w:before="120" w:after="120" w:line="240" w:lineRule="auto"/>
        <w:rPr>
          <w:shd w:val="clear" w:color="auto" w:fill="FFFFFF"/>
        </w:rPr>
      </w:pPr>
      <w:r>
        <w:rPr>
          <w:shd w:val="clear" w:color="auto" w:fill="FFFFFF"/>
        </w:rPr>
        <w:t>The outlook for the rest of 2022 is promising</w:t>
      </w:r>
      <w:r w:rsidR="001F23BD">
        <w:rPr>
          <w:shd w:val="clear" w:color="auto" w:fill="FFFFFF"/>
        </w:rPr>
        <w:t xml:space="preserve"> for auto retailers</w:t>
      </w:r>
      <w:r>
        <w:rPr>
          <w:shd w:val="clear" w:color="auto" w:fill="FFFFFF"/>
        </w:rPr>
        <w:t xml:space="preserve">. </w:t>
      </w:r>
      <w:r w:rsidR="001F23BD">
        <w:rPr>
          <w:shd w:val="clear" w:color="auto" w:fill="FFFFFF"/>
        </w:rPr>
        <w:t xml:space="preserve">Dealers believe this period of inventory shortages and elevated earnings </w:t>
      </w:r>
      <w:r w:rsidR="005D40C7">
        <w:rPr>
          <w:shd w:val="clear" w:color="auto" w:fill="FFFFFF"/>
        </w:rPr>
        <w:t xml:space="preserve">is </w:t>
      </w:r>
      <w:r w:rsidR="001F23BD">
        <w:rPr>
          <w:shd w:val="clear" w:color="auto" w:fill="FFFFFF"/>
        </w:rPr>
        <w:t>likely to continue for the foreseeable future.</w:t>
      </w:r>
    </w:p>
    <w:p w14:paraId="6061B87D" w14:textId="211DDE0E" w:rsidR="005F7D51" w:rsidRPr="00BD77FE" w:rsidRDefault="00EA563A" w:rsidP="005F1A20">
      <w:pPr>
        <w:spacing w:before="120" w:after="120" w:line="240" w:lineRule="auto"/>
      </w:pPr>
      <w:r>
        <w:rPr>
          <w:rFonts w:cstheme="minorHAnsi"/>
          <w:shd w:val="clear" w:color="auto" w:fill="FFFFFF"/>
        </w:rPr>
        <w:t>Highlights</w:t>
      </w:r>
      <w:r w:rsidR="00211F83">
        <w:rPr>
          <w:rFonts w:cstheme="minorHAnsi"/>
          <w:shd w:val="clear" w:color="auto" w:fill="FFFFFF"/>
        </w:rPr>
        <w:t xml:space="preserve"> from the </w:t>
      </w:r>
      <w:hyperlink r:id="rId10" w:history="1">
        <w:r w:rsidR="00211F83" w:rsidRPr="00857F8F">
          <w:rPr>
            <w:rStyle w:val="Hyperlink"/>
            <w:rFonts w:cstheme="minorHAnsi"/>
            <w:shd w:val="clear" w:color="auto" w:fill="FFFFFF"/>
          </w:rPr>
          <w:t>Q</w:t>
        </w:r>
        <w:r w:rsidR="00321BF9">
          <w:rPr>
            <w:rStyle w:val="Hyperlink"/>
            <w:rFonts w:cstheme="minorHAnsi"/>
            <w:shd w:val="clear" w:color="auto" w:fill="FFFFFF"/>
          </w:rPr>
          <w:t>2</w:t>
        </w:r>
        <w:r w:rsidR="00211F83" w:rsidRPr="00857F8F">
          <w:rPr>
            <w:rStyle w:val="Hyperlink"/>
            <w:rFonts w:cstheme="minorHAnsi"/>
            <w:shd w:val="clear" w:color="auto" w:fill="FFFFFF"/>
          </w:rPr>
          <w:t xml:space="preserve"> 202</w:t>
        </w:r>
        <w:r w:rsidR="00A36D37">
          <w:rPr>
            <w:rStyle w:val="Hyperlink"/>
            <w:rFonts w:cstheme="minorHAnsi"/>
            <w:shd w:val="clear" w:color="auto" w:fill="FFFFFF"/>
          </w:rPr>
          <w:t>2</w:t>
        </w:r>
        <w:r w:rsidR="00211F83" w:rsidRPr="00857F8F">
          <w:rPr>
            <w:rStyle w:val="Hyperlink"/>
            <w:rFonts w:cstheme="minorHAnsi"/>
            <w:shd w:val="clear" w:color="auto" w:fill="FFFFFF"/>
          </w:rPr>
          <w:t xml:space="preserve"> Haig Report</w:t>
        </w:r>
      </w:hyperlink>
      <w:r>
        <w:rPr>
          <w:rFonts w:cstheme="minorHAnsi"/>
          <w:shd w:val="clear" w:color="auto" w:fill="FFFFFF"/>
        </w:rPr>
        <w:t xml:space="preserve"> include</w:t>
      </w:r>
      <w:r w:rsidR="00CC02A7" w:rsidRPr="00F57583">
        <w:t>:</w:t>
      </w:r>
    </w:p>
    <w:p w14:paraId="6BF991D3" w14:textId="67772934" w:rsidR="005F7D51" w:rsidRDefault="005F7D51" w:rsidP="005F1A20">
      <w:pPr>
        <w:numPr>
          <w:ilvl w:val="0"/>
          <w:numId w:val="1"/>
        </w:numPr>
        <w:spacing w:after="120" w:line="240" w:lineRule="auto"/>
        <w:rPr>
          <w:b/>
          <w:bCs/>
        </w:rPr>
      </w:pPr>
      <w:r>
        <w:rPr>
          <w:b/>
          <w:bCs/>
        </w:rPr>
        <w:t xml:space="preserve">Blue </w:t>
      </w:r>
      <w:r w:rsidR="00BD77FE">
        <w:rPr>
          <w:b/>
          <w:bCs/>
        </w:rPr>
        <w:t>s</w:t>
      </w:r>
      <w:r>
        <w:rPr>
          <w:b/>
          <w:bCs/>
        </w:rPr>
        <w:t>ky values remain at record levels, 6% higher than at the end of 2021 and at the same level as at the end of Q1 2022</w:t>
      </w:r>
    </w:p>
    <w:p w14:paraId="2A697DAA" w14:textId="09E7A016" w:rsidR="005F7D51" w:rsidRDefault="005F7D51" w:rsidP="005F1A20">
      <w:pPr>
        <w:numPr>
          <w:ilvl w:val="0"/>
          <w:numId w:val="1"/>
        </w:numPr>
        <w:spacing w:after="120" w:line="240" w:lineRule="auto"/>
        <w:rPr>
          <w:b/>
          <w:bCs/>
        </w:rPr>
      </w:pPr>
      <w:r>
        <w:rPr>
          <w:b/>
          <w:bCs/>
        </w:rPr>
        <w:t xml:space="preserve">Pent-up </w:t>
      </w:r>
      <w:r w:rsidR="00CE7E8B">
        <w:rPr>
          <w:b/>
          <w:bCs/>
        </w:rPr>
        <w:t xml:space="preserve">consumer </w:t>
      </w:r>
      <w:r>
        <w:rPr>
          <w:b/>
          <w:bCs/>
        </w:rPr>
        <w:t>demand continues to grow, providing a bright outlook for future dealership profits</w:t>
      </w:r>
    </w:p>
    <w:p w14:paraId="35277541" w14:textId="725BA32C" w:rsidR="00706D44" w:rsidRDefault="00321BF9" w:rsidP="005F1A20">
      <w:pPr>
        <w:numPr>
          <w:ilvl w:val="0"/>
          <w:numId w:val="1"/>
        </w:numPr>
        <w:spacing w:after="120" w:line="240" w:lineRule="auto"/>
        <w:rPr>
          <w:b/>
          <w:bCs/>
        </w:rPr>
      </w:pPr>
      <w:r>
        <w:rPr>
          <w:b/>
          <w:bCs/>
        </w:rPr>
        <w:t>Auto dealers are still enjoying impressive earnings, but growth in profits might be leveling off</w:t>
      </w:r>
    </w:p>
    <w:p w14:paraId="4188C4D2" w14:textId="67BA1E5B" w:rsidR="00321BF9" w:rsidRDefault="000968AC" w:rsidP="005F1A20">
      <w:pPr>
        <w:numPr>
          <w:ilvl w:val="0"/>
          <w:numId w:val="1"/>
        </w:numPr>
        <w:spacing w:after="120" w:line="240" w:lineRule="auto"/>
        <w:rPr>
          <w:b/>
          <w:bCs/>
        </w:rPr>
      </w:pPr>
      <w:r>
        <w:rPr>
          <w:b/>
          <w:bCs/>
        </w:rPr>
        <w:t>The number of dealerships sold</w:t>
      </w:r>
      <w:r w:rsidR="00321BF9">
        <w:rPr>
          <w:b/>
          <w:bCs/>
        </w:rPr>
        <w:t xml:space="preserve"> is</w:t>
      </w:r>
      <w:r w:rsidR="00D907BF">
        <w:rPr>
          <w:b/>
          <w:bCs/>
        </w:rPr>
        <w:t xml:space="preserve"> 3% higher than the record-setting pace of 2021</w:t>
      </w:r>
    </w:p>
    <w:p w14:paraId="7CF187DF" w14:textId="7A9DDE95" w:rsidR="004876EA" w:rsidRPr="00BD77FE" w:rsidRDefault="00457AB5" w:rsidP="005F1A20">
      <w:pPr>
        <w:numPr>
          <w:ilvl w:val="0"/>
          <w:numId w:val="1"/>
        </w:numPr>
        <w:spacing w:after="120" w:line="240" w:lineRule="auto"/>
        <w:rPr>
          <w:b/>
          <w:bCs/>
        </w:rPr>
      </w:pPr>
      <w:r>
        <w:rPr>
          <w:b/>
          <w:bCs/>
        </w:rPr>
        <w:t xml:space="preserve">Public company spending </w:t>
      </w:r>
      <w:r w:rsidR="004876EA">
        <w:rPr>
          <w:b/>
          <w:bCs/>
        </w:rPr>
        <w:t>on US auto acquisitions remains strong compared to pre-</w:t>
      </w:r>
      <w:r w:rsidR="000A02DE">
        <w:rPr>
          <w:b/>
          <w:bCs/>
        </w:rPr>
        <w:t>P</w:t>
      </w:r>
      <w:r w:rsidR="004876EA">
        <w:rPr>
          <w:b/>
          <w:bCs/>
        </w:rPr>
        <w:t xml:space="preserve">andemic times but is down </w:t>
      </w:r>
      <w:r w:rsidR="00396148">
        <w:rPr>
          <w:b/>
          <w:bCs/>
        </w:rPr>
        <w:t>7</w:t>
      </w:r>
      <w:r w:rsidR="00EB3FEB">
        <w:rPr>
          <w:b/>
          <w:bCs/>
        </w:rPr>
        <w:t>3</w:t>
      </w:r>
      <w:r w:rsidR="00396148">
        <w:rPr>
          <w:b/>
          <w:bCs/>
        </w:rPr>
        <w:t xml:space="preserve">% </w:t>
      </w:r>
      <w:r w:rsidR="004876EA">
        <w:rPr>
          <w:b/>
          <w:bCs/>
        </w:rPr>
        <w:t xml:space="preserve">from </w:t>
      </w:r>
      <w:r w:rsidR="00396148">
        <w:rPr>
          <w:b/>
          <w:bCs/>
        </w:rPr>
        <w:t xml:space="preserve">the same period in </w:t>
      </w:r>
      <w:r w:rsidR="004876EA">
        <w:rPr>
          <w:b/>
          <w:bCs/>
        </w:rPr>
        <w:t>2021</w:t>
      </w:r>
    </w:p>
    <w:p w14:paraId="47E07D82" w14:textId="6E04FE9A" w:rsidR="0056276A" w:rsidRPr="00564C71" w:rsidRDefault="00FD4731" w:rsidP="005F1A20">
      <w:pPr>
        <w:numPr>
          <w:ilvl w:val="0"/>
          <w:numId w:val="1"/>
        </w:numPr>
        <w:spacing w:after="120" w:line="240" w:lineRule="auto"/>
        <w:rPr>
          <w:b/>
          <w:bCs/>
        </w:rPr>
      </w:pPr>
      <w:r w:rsidRPr="00564C71">
        <w:rPr>
          <w:rFonts w:ascii="Calibri" w:hAnsi="Calibri" w:cs="Calibri"/>
          <w:b/>
          <w:bCs/>
          <w:color w:val="000000"/>
        </w:rPr>
        <w:t>Fixed operations are up due to higher customer pay, recalls, and higher labor rates</w:t>
      </w:r>
    </w:p>
    <w:p w14:paraId="3C37355C" w14:textId="4277DA74" w:rsidR="00BD77FE" w:rsidRPr="00077CDB" w:rsidRDefault="001935FB" w:rsidP="005F1A20">
      <w:pPr>
        <w:spacing w:after="120" w:line="240" w:lineRule="auto"/>
        <w:rPr>
          <w:rStyle w:val="A5"/>
          <w:rFonts w:ascii="Calibri" w:hAnsi="Calibri" w:cs="Calibri"/>
          <w:color w:val="auto"/>
          <w:sz w:val="22"/>
          <w:szCs w:val="22"/>
        </w:rPr>
      </w:pPr>
      <w:r>
        <w:rPr>
          <w:rStyle w:val="A5"/>
          <w:rFonts w:ascii="Calibri" w:hAnsi="Calibri" w:cs="Calibri"/>
          <w:sz w:val="22"/>
          <w:szCs w:val="22"/>
        </w:rPr>
        <w:t>“</w:t>
      </w:r>
      <w:r w:rsidRPr="003151F4">
        <w:rPr>
          <w:rStyle w:val="A5"/>
          <w:rFonts w:ascii="Calibri" w:hAnsi="Calibri" w:cs="Calibri"/>
          <w:sz w:val="22"/>
          <w:szCs w:val="22"/>
        </w:rPr>
        <w:t xml:space="preserve">Thanks to high current and </w:t>
      </w:r>
      <w:r w:rsidR="009262B9">
        <w:rPr>
          <w:rStyle w:val="A5"/>
          <w:rFonts w:ascii="Calibri" w:hAnsi="Calibri" w:cs="Calibri"/>
          <w:sz w:val="22"/>
          <w:szCs w:val="22"/>
        </w:rPr>
        <w:t xml:space="preserve">expected </w:t>
      </w:r>
      <w:r w:rsidRPr="003151F4">
        <w:rPr>
          <w:rStyle w:val="A5"/>
          <w:rFonts w:ascii="Calibri" w:hAnsi="Calibri" w:cs="Calibri"/>
          <w:sz w:val="22"/>
          <w:szCs w:val="22"/>
        </w:rPr>
        <w:t xml:space="preserve">future profits </w:t>
      </w:r>
      <w:r w:rsidR="00250B8D">
        <w:rPr>
          <w:rStyle w:val="A5"/>
          <w:rFonts w:ascii="Calibri" w:hAnsi="Calibri" w:cs="Calibri"/>
          <w:sz w:val="22"/>
          <w:szCs w:val="22"/>
        </w:rPr>
        <w:t>many dealers and investors are looking</w:t>
      </w:r>
      <w:r w:rsidRPr="003151F4">
        <w:rPr>
          <w:rStyle w:val="A5"/>
          <w:rFonts w:ascii="Calibri" w:hAnsi="Calibri" w:cs="Calibri"/>
          <w:sz w:val="22"/>
          <w:szCs w:val="22"/>
        </w:rPr>
        <w:t xml:space="preserve"> to acquire dealerships</w:t>
      </w:r>
      <w:r>
        <w:rPr>
          <w:rStyle w:val="A5"/>
          <w:rFonts w:ascii="Calibri" w:hAnsi="Calibri" w:cs="Calibri"/>
          <w:sz w:val="22"/>
          <w:szCs w:val="22"/>
        </w:rPr>
        <w:t>,</w:t>
      </w:r>
      <w:r w:rsidR="0007226E">
        <w:rPr>
          <w:rStyle w:val="A5"/>
          <w:rFonts w:ascii="Calibri" w:hAnsi="Calibri" w:cs="Calibri"/>
          <w:sz w:val="22"/>
          <w:szCs w:val="22"/>
        </w:rPr>
        <w:t xml:space="preserve"> and therefore, it is still a great time for dealers who might be looking to exit,</w:t>
      </w:r>
      <w:r>
        <w:rPr>
          <w:rStyle w:val="A5"/>
          <w:rFonts w:ascii="Calibri" w:hAnsi="Calibri" w:cs="Calibri"/>
          <w:sz w:val="22"/>
          <w:szCs w:val="22"/>
        </w:rPr>
        <w:t xml:space="preserve">” shared Alan Haig, President of Haig Partners. </w:t>
      </w:r>
      <w:r w:rsidR="00701D6A">
        <w:rPr>
          <w:rStyle w:val="A5"/>
          <w:rFonts w:ascii="Calibri" w:hAnsi="Calibri" w:cs="Calibri"/>
          <w:sz w:val="22"/>
          <w:szCs w:val="22"/>
        </w:rPr>
        <w:t xml:space="preserve">“That said, we are seeing some indicators that </w:t>
      </w:r>
      <w:r>
        <w:rPr>
          <w:rStyle w:val="A5"/>
          <w:rFonts w:ascii="Calibri" w:hAnsi="Calibri" w:cs="Calibri"/>
          <w:sz w:val="22"/>
          <w:szCs w:val="22"/>
        </w:rPr>
        <w:t xml:space="preserve">skyrocketing earnings at dealerships </w:t>
      </w:r>
      <w:r w:rsidR="00701D6A">
        <w:rPr>
          <w:rStyle w:val="A5"/>
          <w:rFonts w:ascii="Calibri" w:hAnsi="Calibri" w:cs="Calibri"/>
          <w:sz w:val="22"/>
          <w:szCs w:val="22"/>
        </w:rPr>
        <w:t>may have</w:t>
      </w:r>
      <w:r>
        <w:rPr>
          <w:rStyle w:val="A5"/>
          <w:rFonts w:ascii="Calibri" w:hAnsi="Calibri" w:cs="Calibri"/>
          <w:sz w:val="22"/>
          <w:szCs w:val="22"/>
        </w:rPr>
        <w:t xml:space="preserve"> hit </w:t>
      </w:r>
      <w:r w:rsidR="00396148">
        <w:rPr>
          <w:rStyle w:val="A5"/>
          <w:rFonts w:ascii="Calibri" w:hAnsi="Calibri" w:cs="Calibri"/>
          <w:sz w:val="22"/>
          <w:szCs w:val="22"/>
        </w:rPr>
        <w:t>a plateau</w:t>
      </w:r>
      <w:r>
        <w:rPr>
          <w:rStyle w:val="A5"/>
          <w:rFonts w:ascii="Calibri" w:hAnsi="Calibri" w:cs="Calibri"/>
          <w:sz w:val="22"/>
          <w:szCs w:val="22"/>
        </w:rPr>
        <w:t xml:space="preserve">. </w:t>
      </w:r>
      <w:r w:rsidR="008671FE" w:rsidRPr="00F82E14">
        <w:t xml:space="preserve">The recent financial statements for the publicly traded retailers show their profits per dealership </w:t>
      </w:r>
      <w:r w:rsidR="008671FE">
        <w:t>remained flat from</w:t>
      </w:r>
      <w:r w:rsidR="008671FE" w:rsidRPr="00F82E14">
        <w:t xml:space="preserve"> Q1. What will happen in future quarters is up for debate</w:t>
      </w:r>
      <w:r w:rsidR="008671FE">
        <w:t xml:space="preserve">. </w:t>
      </w:r>
      <w:r w:rsidR="00777F47">
        <w:t>It is</w:t>
      </w:r>
      <w:r w:rsidR="008671FE">
        <w:t xml:space="preserve"> possible that costs will continue to </w:t>
      </w:r>
      <w:r w:rsidR="005F1A20">
        <w:t>increase,</w:t>
      </w:r>
      <w:r w:rsidR="008671FE">
        <w:t xml:space="preserve"> and margins will fall, followed by lower profits. But it’s also possible that if supply of new vehicles increases, dealers may make more money since there is still so much pent-up demand that dealers will be able to maintain current margins on higher volume. Either way, o</w:t>
      </w:r>
      <w:r w:rsidR="008671FE" w:rsidRPr="00F82E14">
        <w:t>ur math indicates we will remain in a period of elevated earnings for the next three years or so</w:t>
      </w:r>
      <w:r w:rsidR="003C3BDE">
        <w:rPr>
          <w:rStyle w:val="A5"/>
          <w:rFonts w:ascii="Calibri" w:hAnsi="Calibri" w:cs="Calibri"/>
          <w:sz w:val="22"/>
          <w:szCs w:val="22"/>
        </w:rPr>
        <w:t>,” he continued.</w:t>
      </w:r>
      <w:r w:rsidR="00CD51B5" w:rsidRPr="00D0768A">
        <w:rPr>
          <w:rFonts w:ascii="Calibri" w:hAnsi="Calibri" w:cs="Calibri"/>
        </w:rPr>
        <w:t xml:space="preserve"> </w:t>
      </w:r>
    </w:p>
    <w:p w14:paraId="2609A318" w14:textId="5718BBF6" w:rsidR="00CD51B5" w:rsidRDefault="00D0768A" w:rsidP="005F1A20">
      <w:pPr>
        <w:spacing w:before="240" w:after="120" w:line="240" w:lineRule="auto"/>
        <w:rPr>
          <w:rStyle w:val="A5"/>
          <w:rFonts w:ascii="Calibri" w:hAnsi="Calibri" w:cs="Calibri"/>
          <w:b/>
          <w:bCs/>
          <w:sz w:val="22"/>
          <w:szCs w:val="22"/>
        </w:rPr>
      </w:pPr>
      <w:r>
        <w:rPr>
          <w:rStyle w:val="A5"/>
          <w:rFonts w:ascii="Calibri" w:hAnsi="Calibri" w:cs="Calibri"/>
          <w:b/>
          <w:bCs/>
          <w:sz w:val="22"/>
          <w:szCs w:val="22"/>
        </w:rPr>
        <w:t xml:space="preserve">Q2 2022 </w:t>
      </w:r>
      <w:r w:rsidR="00CD51B5" w:rsidRPr="00EC37A7">
        <w:rPr>
          <w:rStyle w:val="A5"/>
          <w:rFonts w:ascii="Calibri" w:hAnsi="Calibri" w:cs="Calibri"/>
          <w:b/>
          <w:bCs/>
          <w:sz w:val="22"/>
          <w:szCs w:val="22"/>
        </w:rPr>
        <w:t>Buy-Sell Trend</w:t>
      </w:r>
      <w:r w:rsidR="009A370F">
        <w:rPr>
          <w:rStyle w:val="A5"/>
          <w:rFonts w:ascii="Calibri" w:hAnsi="Calibri" w:cs="Calibri"/>
          <w:b/>
          <w:bCs/>
          <w:sz w:val="22"/>
          <w:szCs w:val="22"/>
        </w:rPr>
        <w:t xml:space="preserve"> Highlights</w:t>
      </w:r>
    </w:p>
    <w:p w14:paraId="4C07895A" w14:textId="7F233061" w:rsidR="00BD77FE" w:rsidRPr="00BD77FE" w:rsidRDefault="00BD77FE" w:rsidP="005F1A20">
      <w:pPr>
        <w:pStyle w:val="ListParagraph"/>
        <w:numPr>
          <w:ilvl w:val="0"/>
          <w:numId w:val="1"/>
        </w:numPr>
        <w:spacing w:after="120" w:line="240" w:lineRule="auto"/>
        <w:rPr>
          <w:rStyle w:val="jsgrdq"/>
          <w:rFonts w:ascii="Calibri" w:hAnsi="Calibri" w:cs="Calibri"/>
          <w:color w:val="000000"/>
        </w:rPr>
      </w:pPr>
      <w:r w:rsidRPr="00BD77FE">
        <w:rPr>
          <w:rStyle w:val="A5"/>
          <w:rFonts w:ascii="Calibri" w:hAnsi="Calibri" w:cs="Calibri"/>
          <w:b/>
          <w:bCs/>
          <w:i/>
          <w:iCs/>
          <w:sz w:val="22"/>
          <w:szCs w:val="22"/>
        </w:rPr>
        <w:t xml:space="preserve">Blue </w:t>
      </w:r>
      <w:r>
        <w:rPr>
          <w:rStyle w:val="A5"/>
          <w:rFonts w:ascii="Calibri" w:hAnsi="Calibri" w:cs="Calibri"/>
          <w:b/>
          <w:bCs/>
          <w:i/>
          <w:iCs/>
          <w:sz w:val="22"/>
          <w:szCs w:val="22"/>
        </w:rPr>
        <w:t>s</w:t>
      </w:r>
      <w:r w:rsidRPr="00BD77FE">
        <w:rPr>
          <w:rStyle w:val="A5"/>
          <w:rFonts w:ascii="Calibri" w:hAnsi="Calibri" w:cs="Calibri"/>
          <w:b/>
          <w:bCs/>
          <w:i/>
          <w:iCs/>
          <w:sz w:val="22"/>
          <w:szCs w:val="22"/>
        </w:rPr>
        <w:t xml:space="preserve">ky </w:t>
      </w:r>
      <w:r>
        <w:rPr>
          <w:rStyle w:val="A5"/>
          <w:rFonts w:ascii="Calibri" w:hAnsi="Calibri" w:cs="Calibri"/>
          <w:b/>
          <w:bCs/>
          <w:i/>
          <w:iCs/>
          <w:sz w:val="22"/>
          <w:szCs w:val="22"/>
        </w:rPr>
        <w:t>v</w:t>
      </w:r>
      <w:r w:rsidRPr="00BD77FE">
        <w:rPr>
          <w:rStyle w:val="A5"/>
          <w:rFonts w:ascii="Calibri" w:hAnsi="Calibri" w:cs="Calibri"/>
          <w:b/>
          <w:bCs/>
          <w:i/>
          <w:iCs/>
          <w:sz w:val="22"/>
          <w:szCs w:val="22"/>
        </w:rPr>
        <w:t xml:space="preserve">alues </w:t>
      </w:r>
      <w:r>
        <w:rPr>
          <w:rStyle w:val="A5"/>
          <w:rFonts w:ascii="Calibri" w:hAnsi="Calibri" w:cs="Calibri"/>
          <w:b/>
          <w:bCs/>
          <w:i/>
          <w:iCs/>
          <w:sz w:val="22"/>
          <w:szCs w:val="22"/>
        </w:rPr>
        <w:t>r</w:t>
      </w:r>
      <w:r w:rsidRPr="00BD77FE">
        <w:rPr>
          <w:rStyle w:val="A5"/>
          <w:rFonts w:ascii="Calibri" w:hAnsi="Calibri" w:cs="Calibri"/>
          <w:b/>
          <w:bCs/>
          <w:i/>
          <w:iCs/>
          <w:sz w:val="22"/>
          <w:szCs w:val="22"/>
        </w:rPr>
        <w:t xml:space="preserve">emain at </w:t>
      </w:r>
      <w:r>
        <w:rPr>
          <w:rStyle w:val="A5"/>
          <w:rFonts w:ascii="Calibri" w:hAnsi="Calibri" w:cs="Calibri"/>
          <w:b/>
          <w:bCs/>
          <w:i/>
          <w:iCs/>
          <w:sz w:val="22"/>
          <w:szCs w:val="22"/>
        </w:rPr>
        <w:t>a</w:t>
      </w:r>
      <w:r w:rsidRPr="00BD77FE">
        <w:rPr>
          <w:rStyle w:val="A5"/>
          <w:rFonts w:ascii="Calibri" w:hAnsi="Calibri" w:cs="Calibri"/>
          <w:b/>
          <w:bCs/>
          <w:i/>
          <w:iCs/>
          <w:sz w:val="22"/>
          <w:szCs w:val="22"/>
        </w:rPr>
        <w:t>ll-</w:t>
      </w:r>
      <w:r>
        <w:rPr>
          <w:rStyle w:val="A5"/>
          <w:rFonts w:ascii="Calibri" w:hAnsi="Calibri" w:cs="Calibri"/>
          <w:b/>
          <w:bCs/>
          <w:i/>
          <w:iCs/>
          <w:sz w:val="22"/>
          <w:szCs w:val="22"/>
        </w:rPr>
        <w:t>t</w:t>
      </w:r>
      <w:r w:rsidRPr="00BD77FE">
        <w:rPr>
          <w:rStyle w:val="A5"/>
          <w:rFonts w:ascii="Calibri" w:hAnsi="Calibri" w:cs="Calibri"/>
          <w:b/>
          <w:bCs/>
          <w:i/>
          <w:iCs/>
          <w:sz w:val="22"/>
          <w:szCs w:val="22"/>
        </w:rPr>
        <w:t xml:space="preserve">ime </w:t>
      </w:r>
      <w:r>
        <w:rPr>
          <w:rStyle w:val="A5"/>
          <w:rFonts w:ascii="Calibri" w:hAnsi="Calibri" w:cs="Calibri"/>
          <w:b/>
          <w:bCs/>
          <w:i/>
          <w:iCs/>
          <w:sz w:val="22"/>
          <w:szCs w:val="22"/>
        </w:rPr>
        <w:t>h</w:t>
      </w:r>
      <w:r w:rsidRPr="00BD77FE">
        <w:rPr>
          <w:rStyle w:val="A5"/>
          <w:rFonts w:ascii="Calibri" w:hAnsi="Calibri" w:cs="Calibri"/>
          <w:b/>
          <w:bCs/>
          <w:i/>
          <w:iCs/>
          <w:sz w:val="22"/>
          <w:szCs w:val="22"/>
        </w:rPr>
        <w:t>ighs</w:t>
      </w:r>
      <w:r w:rsidRPr="00320056">
        <w:rPr>
          <w:rStyle w:val="A5"/>
          <w:rFonts w:ascii="Calibri" w:hAnsi="Calibri" w:cs="Calibri"/>
          <w:sz w:val="22"/>
          <w:szCs w:val="22"/>
        </w:rPr>
        <w:t xml:space="preserve"> </w:t>
      </w:r>
      <w:r w:rsidR="00320056" w:rsidRPr="00320056">
        <w:rPr>
          <w:rStyle w:val="A5"/>
          <w:rFonts w:ascii="Calibri" w:hAnsi="Calibri" w:cs="Calibri"/>
          <w:sz w:val="22"/>
          <w:szCs w:val="22"/>
        </w:rPr>
        <w:t xml:space="preserve">- </w:t>
      </w:r>
      <w:r w:rsidR="00320056">
        <w:rPr>
          <w:rStyle w:val="jsgrdq"/>
          <w:color w:val="000000"/>
        </w:rPr>
        <w:t xml:space="preserve">Haig Partners served as </w:t>
      </w:r>
      <w:r w:rsidR="005C11AD">
        <w:rPr>
          <w:rStyle w:val="jsgrdq"/>
          <w:color w:val="000000"/>
        </w:rPr>
        <w:t xml:space="preserve">the </w:t>
      </w:r>
      <w:r w:rsidR="00320056">
        <w:rPr>
          <w:rStyle w:val="jsgrdq"/>
          <w:color w:val="000000"/>
        </w:rPr>
        <w:t xml:space="preserve">exclusive advisor on the </w:t>
      </w:r>
      <w:hyperlink r:id="rId11" w:history="1">
        <w:r w:rsidR="00320056" w:rsidRPr="00074542">
          <w:rPr>
            <w:rStyle w:val="Hyperlink"/>
          </w:rPr>
          <w:t>sale of a majority stake in John Elway’s Crown Toyota</w:t>
        </w:r>
      </w:hyperlink>
      <w:r w:rsidR="00320056" w:rsidRPr="00320056">
        <w:rPr>
          <w:rStyle w:val="jsgrdq"/>
          <w:color w:val="000000"/>
        </w:rPr>
        <w:t xml:space="preserve"> to Swickard Auto Group. </w:t>
      </w:r>
      <w:bookmarkStart w:id="0" w:name="_Hlk112392811"/>
      <w:r w:rsidR="00320056" w:rsidRPr="00320056">
        <w:rPr>
          <w:rStyle w:val="jsgrdq"/>
          <w:color w:val="000000"/>
        </w:rPr>
        <w:t xml:space="preserve">The total value </w:t>
      </w:r>
      <w:r w:rsidR="00CE7E8B">
        <w:rPr>
          <w:rStyle w:val="jsgrdq"/>
          <w:color w:val="000000"/>
        </w:rPr>
        <w:t>paid i</w:t>
      </w:r>
      <w:r w:rsidR="00320056" w:rsidRPr="00320056">
        <w:rPr>
          <w:rStyle w:val="jsgrdq"/>
          <w:color w:val="000000"/>
        </w:rPr>
        <w:t>s believed to be the second highest all time for any dealership franchise in the U.S.</w:t>
      </w:r>
      <w:bookmarkEnd w:id="0"/>
      <w:r w:rsidR="00E641BC">
        <w:rPr>
          <w:rStyle w:val="jsgrdq"/>
          <w:color w:val="000000"/>
        </w:rPr>
        <w:t xml:space="preserve"> The highest known price </w:t>
      </w:r>
      <w:r w:rsidR="00864443">
        <w:rPr>
          <w:rStyle w:val="jsgrdq"/>
          <w:color w:val="000000"/>
        </w:rPr>
        <w:t xml:space="preserve">paid </w:t>
      </w:r>
      <w:r w:rsidR="00E641BC">
        <w:rPr>
          <w:rStyle w:val="jsgrdq"/>
          <w:color w:val="000000"/>
        </w:rPr>
        <w:t xml:space="preserve">for a dealership happened earlier in 2022 when Group 1 reported that </w:t>
      </w:r>
      <w:r w:rsidR="00E641BC">
        <w:rPr>
          <w:rStyle w:val="jsgrdq"/>
          <w:color w:val="000000"/>
        </w:rPr>
        <w:lastRenderedPageBreak/>
        <w:t>it paid $</w:t>
      </w:r>
      <w:r w:rsidR="005F7D51">
        <w:rPr>
          <w:rStyle w:val="jsgrdq"/>
          <w:color w:val="000000"/>
        </w:rPr>
        <w:t>206.5</w:t>
      </w:r>
      <w:r w:rsidR="00E641BC">
        <w:rPr>
          <w:rStyle w:val="jsgrdq"/>
          <w:color w:val="000000"/>
        </w:rPr>
        <w:t>M</w:t>
      </w:r>
      <w:r w:rsidR="005F7D51">
        <w:rPr>
          <w:rStyle w:val="jsgrdq"/>
          <w:color w:val="000000"/>
        </w:rPr>
        <w:t xml:space="preserve"> in blue sky (as reported in their 10Q filing)</w:t>
      </w:r>
      <w:r w:rsidR="00E641BC">
        <w:rPr>
          <w:rStyle w:val="jsgrdq"/>
          <w:color w:val="000000"/>
        </w:rPr>
        <w:t xml:space="preserve"> for Charles </w:t>
      </w:r>
      <w:proofErr w:type="spellStart"/>
      <w:r w:rsidR="00E641BC">
        <w:rPr>
          <w:rStyle w:val="jsgrdq"/>
          <w:color w:val="000000"/>
        </w:rPr>
        <w:t>Maund</w:t>
      </w:r>
      <w:proofErr w:type="spellEnd"/>
      <w:r w:rsidR="00E641BC">
        <w:rPr>
          <w:rStyle w:val="jsgrdq"/>
          <w:color w:val="000000"/>
        </w:rPr>
        <w:t xml:space="preserve"> Toyota in Austin, TX</w:t>
      </w:r>
      <w:r>
        <w:rPr>
          <w:rStyle w:val="jsgrdq"/>
          <w:color w:val="000000"/>
        </w:rPr>
        <w:t xml:space="preserve">. </w:t>
      </w:r>
    </w:p>
    <w:p w14:paraId="5449F6AB" w14:textId="77777777" w:rsidR="00BD77FE" w:rsidRDefault="00BD77FE" w:rsidP="005F1A20">
      <w:pPr>
        <w:pStyle w:val="ListParagraph"/>
        <w:spacing w:after="120" w:line="240" w:lineRule="auto"/>
        <w:rPr>
          <w:rStyle w:val="A5"/>
          <w:rFonts w:ascii="Calibri" w:hAnsi="Calibri" w:cs="Calibri"/>
          <w:b/>
          <w:bCs/>
          <w:i/>
          <w:iCs/>
          <w:sz w:val="22"/>
          <w:szCs w:val="22"/>
        </w:rPr>
      </w:pPr>
    </w:p>
    <w:p w14:paraId="04EC318F" w14:textId="593169E7" w:rsidR="00BD77FE" w:rsidRPr="001F4C76" w:rsidRDefault="00BD77FE" w:rsidP="005F1A20">
      <w:pPr>
        <w:pStyle w:val="ListParagraph"/>
        <w:spacing w:after="120" w:line="240" w:lineRule="auto"/>
        <w:rPr>
          <w:rFonts w:ascii="Calibri" w:hAnsi="Calibri" w:cs="Calibri"/>
          <w:color w:val="000000"/>
        </w:rPr>
      </w:pPr>
      <w:r w:rsidRPr="001F4C76">
        <w:rPr>
          <w:rFonts w:ascii="Calibri" w:hAnsi="Calibri" w:cs="Calibri"/>
        </w:rPr>
        <w:t xml:space="preserve">We carefully monitor the buy-sell market to assess the desirability of various auto franchises. We analyze offers for the transactions </w:t>
      </w:r>
      <w:r w:rsidR="00777F47">
        <w:rPr>
          <w:rFonts w:ascii="Calibri" w:hAnsi="Calibri" w:cs="Calibri"/>
        </w:rPr>
        <w:t>in which we are engaged</w:t>
      </w:r>
      <w:r w:rsidRPr="001F4C76">
        <w:rPr>
          <w:rFonts w:ascii="Calibri" w:hAnsi="Calibri" w:cs="Calibri"/>
        </w:rPr>
        <w:t xml:space="preserve"> and regularly speak with leading buyers and many attorneys, bankers</w:t>
      </w:r>
      <w:r w:rsidR="00F118C6">
        <w:rPr>
          <w:rFonts w:ascii="Calibri" w:hAnsi="Calibri" w:cs="Calibri"/>
        </w:rPr>
        <w:t>,</w:t>
      </w:r>
      <w:r w:rsidRPr="001F4C76">
        <w:rPr>
          <w:rFonts w:ascii="Calibri" w:hAnsi="Calibri" w:cs="Calibri"/>
        </w:rPr>
        <w:t xml:space="preserve"> and CPAs who are involved in other acquisitions. While every transaction varies, we estimate that</w:t>
      </w:r>
      <w:r w:rsidR="005F1A20">
        <w:rPr>
          <w:rFonts w:ascii="Calibri" w:hAnsi="Calibri" w:cs="Calibri"/>
        </w:rPr>
        <w:t>:</w:t>
      </w:r>
    </w:p>
    <w:p w14:paraId="7435E98D" w14:textId="49D00FE6" w:rsidR="00BD77FE" w:rsidRDefault="00BD77FE" w:rsidP="005F1A20">
      <w:pPr>
        <w:pStyle w:val="ListParagraph"/>
        <w:numPr>
          <w:ilvl w:val="1"/>
          <w:numId w:val="1"/>
        </w:numPr>
        <w:spacing w:after="120" w:line="240" w:lineRule="auto"/>
        <w:rPr>
          <w:rFonts w:ascii="Calibri" w:hAnsi="Calibri" w:cs="Calibri"/>
        </w:rPr>
      </w:pPr>
      <w:r>
        <w:rPr>
          <w:rFonts w:ascii="Calibri" w:hAnsi="Calibri" w:cs="Calibri"/>
        </w:rPr>
        <w:t>B</w:t>
      </w:r>
      <w:r w:rsidRPr="00CD51B5">
        <w:rPr>
          <w:rFonts w:ascii="Calibri" w:hAnsi="Calibri" w:cs="Calibri"/>
        </w:rPr>
        <w:t xml:space="preserve">lue sky value of the average dealership owned by the public companies </w:t>
      </w:r>
      <w:r w:rsidR="001C5437">
        <w:rPr>
          <w:rFonts w:ascii="Calibri" w:hAnsi="Calibri" w:cs="Calibri"/>
        </w:rPr>
        <w:t xml:space="preserve">is </w:t>
      </w:r>
      <w:r w:rsidRPr="00CD51B5">
        <w:rPr>
          <w:rFonts w:ascii="Calibri" w:hAnsi="Calibri" w:cs="Calibri"/>
        </w:rPr>
        <w:t>6% higher than at the end of 2021 a</w:t>
      </w:r>
      <w:r>
        <w:rPr>
          <w:rFonts w:ascii="Calibri" w:hAnsi="Calibri" w:cs="Calibri"/>
        </w:rPr>
        <w:t>nd about</w:t>
      </w:r>
      <w:r w:rsidRPr="00CD51B5">
        <w:rPr>
          <w:rFonts w:ascii="Calibri" w:hAnsi="Calibri" w:cs="Calibri"/>
        </w:rPr>
        <w:t xml:space="preserve"> the same level as at the end of Q1 2022</w:t>
      </w:r>
    </w:p>
    <w:p w14:paraId="534DC5AD" w14:textId="4898727B" w:rsidR="00BD77FE" w:rsidRPr="00CD51B5" w:rsidRDefault="00BD77FE" w:rsidP="005F1A20">
      <w:pPr>
        <w:pStyle w:val="ListParagraph"/>
        <w:numPr>
          <w:ilvl w:val="1"/>
          <w:numId w:val="1"/>
        </w:numPr>
        <w:spacing w:after="120" w:line="240" w:lineRule="auto"/>
        <w:rPr>
          <w:rFonts w:ascii="Calibri" w:hAnsi="Calibri" w:cs="Calibri"/>
          <w:color w:val="000000"/>
        </w:rPr>
      </w:pPr>
      <w:r w:rsidRPr="00CD51B5">
        <w:rPr>
          <w:rFonts w:ascii="Calibri" w:hAnsi="Calibri" w:cs="Calibri"/>
        </w:rPr>
        <w:t xml:space="preserve">Lincoln and Infiniti franchises have been updated to a 3.0x-4.0x multiple from a dollar amount in this report compared to our Q1 2022 Haig Report </w:t>
      </w:r>
    </w:p>
    <w:p w14:paraId="038C586F" w14:textId="77777777" w:rsidR="00BD77FE" w:rsidRDefault="00BD77FE" w:rsidP="005F1A20">
      <w:pPr>
        <w:pStyle w:val="ListParagraph"/>
        <w:numPr>
          <w:ilvl w:val="1"/>
          <w:numId w:val="1"/>
        </w:numPr>
        <w:spacing w:after="120" w:line="240" w:lineRule="auto"/>
        <w:rPr>
          <w:rFonts w:ascii="Calibri" w:hAnsi="Calibri" w:cs="Calibri"/>
        </w:rPr>
      </w:pPr>
      <w:r w:rsidRPr="005E2E39">
        <w:rPr>
          <w:rFonts w:ascii="Calibri" w:hAnsi="Calibri" w:cs="Calibri"/>
        </w:rPr>
        <w:t>Florida and Texas, where there are no state income taxes</w:t>
      </w:r>
      <w:r>
        <w:rPr>
          <w:rFonts w:ascii="Calibri" w:hAnsi="Calibri" w:cs="Calibri"/>
        </w:rPr>
        <w:t>,</w:t>
      </w:r>
      <w:r w:rsidRPr="005E2E39">
        <w:rPr>
          <w:rFonts w:ascii="Calibri" w:hAnsi="Calibri" w:cs="Calibri"/>
        </w:rPr>
        <w:t xml:space="preserve"> are of particular interest to buyers</w:t>
      </w:r>
    </w:p>
    <w:p w14:paraId="5FC508A1" w14:textId="776A6355" w:rsidR="00BD77FE" w:rsidRPr="00BD77FE" w:rsidRDefault="00BD77FE" w:rsidP="005F1A20">
      <w:pPr>
        <w:pStyle w:val="ListParagraph"/>
        <w:numPr>
          <w:ilvl w:val="1"/>
          <w:numId w:val="1"/>
        </w:numPr>
        <w:spacing w:after="120" w:line="240" w:lineRule="auto"/>
        <w:rPr>
          <w:rStyle w:val="jsgrdq"/>
          <w:rFonts w:ascii="Calibri" w:hAnsi="Calibri" w:cs="Calibri"/>
        </w:rPr>
      </w:pPr>
      <w:r w:rsidRPr="00BD77FE">
        <w:rPr>
          <w:rFonts w:ascii="Calibri" w:hAnsi="Calibri" w:cs="Calibri"/>
        </w:rPr>
        <w:t>Other regions such as the Southeast, the Southwest</w:t>
      </w:r>
      <w:r w:rsidR="00F118C6">
        <w:rPr>
          <w:rFonts w:ascii="Calibri" w:hAnsi="Calibri" w:cs="Calibri"/>
        </w:rPr>
        <w:t>,</w:t>
      </w:r>
      <w:r w:rsidRPr="00BD77FE">
        <w:rPr>
          <w:rFonts w:ascii="Calibri" w:hAnsi="Calibri" w:cs="Calibri"/>
        </w:rPr>
        <w:t xml:space="preserve"> and the Mountain States are also highly desirable</w:t>
      </w:r>
      <w:r w:rsidRPr="00BD77FE">
        <w:rPr>
          <w:rStyle w:val="jsgrdq"/>
          <w:color w:val="000000"/>
        </w:rPr>
        <w:br/>
      </w:r>
    </w:p>
    <w:p w14:paraId="49293C8E" w14:textId="69EF62AE" w:rsidR="005E2E39" w:rsidRPr="00BD77FE" w:rsidRDefault="00E641BC" w:rsidP="005F1A20">
      <w:pPr>
        <w:pStyle w:val="ListParagraph"/>
        <w:numPr>
          <w:ilvl w:val="0"/>
          <w:numId w:val="2"/>
        </w:numPr>
        <w:spacing w:line="240" w:lineRule="auto"/>
        <w:rPr>
          <w:color w:val="000000"/>
        </w:rPr>
      </w:pPr>
      <w:r w:rsidRPr="00BD77FE">
        <w:rPr>
          <w:rStyle w:val="A5"/>
          <w:rFonts w:ascii="Calibri" w:hAnsi="Calibri" w:cs="Calibri"/>
          <w:b/>
          <w:bCs/>
          <w:i/>
          <w:iCs/>
          <w:sz w:val="22"/>
          <w:szCs w:val="22"/>
        </w:rPr>
        <w:t>Toyota is one of the most desired brands in the industry</w:t>
      </w:r>
      <w:r>
        <w:rPr>
          <w:rStyle w:val="A5"/>
          <w:rFonts w:ascii="Calibri" w:hAnsi="Calibri" w:cs="Calibri"/>
          <w:sz w:val="22"/>
          <w:szCs w:val="22"/>
        </w:rPr>
        <w:t xml:space="preserve"> </w:t>
      </w:r>
      <w:r w:rsidR="00CE4EA1">
        <w:rPr>
          <w:rStyle w:val="A5"/>
          <w:rFonts w:ascii="Calibri" w:hAnsi="Calibri" w:cs="Calibri"/>
          <w:sz w:val="22"/>
          <w:szCs w:val="22"/>
        </w:rPr>
        <w:t>-</w:t>
      </w:r>
      <w:r w:rsidR="00CE4EA1">
        <w:rPr>
          <w:rStyle w:val="jsgrdq"/>
          <w:color w:val="000000"/>
        </w:rPr>
        <w:t xml:space="preserve"> </w:t>
      </w:r>
      <w:r w:rsidR="00CE4EA1" w:rsidRPr="00320056">
        <w:rPr>
          <w:rStyle w:val="jsgrdq"/>
          <w:color w:val="000000"/>
        </w:rPr>
        <w:t>The</w:t>
      </w:r>
      <w:r>
        <w:rPr>
          <w:rStyle w:val="jsgrdq"/>
          <w:color w:val="000000"/>
        </w:rPr>
        <w:t xml:space="preserve"> John Elway’s Crown Toyota and Charles </w:t>
      </w:r>
      <w:proofErr w:type="spellStart"/>
      <w:r>
        <w:rPr>
          <w:rStyle w:val="jsgrdq"/>
          <w:color w:val="000000"/>
        </w:rPr>
        <w:t>Maund</w:t>
      </w:r>
      <w:proofErr w:type="spellEnd"/>
      <w:r>
        <w:rPr>
          <w:rStyle w:val="jsgrdq"/>
          <w:color w:val="000000"/>
        </w:rPr>
        <w:t xml:space="preserve"> Toyota</w:t>
      </w:r>
      <w:r w:rsidR="00320056" w:rsidRPr="00E641BC">
        <w:rPr>
          <w:rStyle w:val="jsgrdq"/>
          <w:color w:val="000000"/>
        </w:rPr>
        <w:t xml:space="preserve"> transaction</w:t>
      </w:r>
      <w:r>
        <w:rPr>
          <w:rStyle w:val="jsgrdq"/>
          <w:color w:val="000000"/>
        </w:rPr>
        <w:t>s</w:t>
      </w:r>
      <w:r w:rsidR="00320056" w:rsidRPr="00E641BC">
        <w:rPr>
          <w:rStyle w:val="jsgrdq"/>
          <w:color w:val="000000"/>
        </w:rPr>
        <w:t xml:space="preserve"> demonstrate that Toyota is perhaps the most desired brand in the industry today. Toyota is fully committed to supporting its retailers and is not dabbling in the agency model or other ideas that could harm both the retailer and the OEM. Toyota’s long-term commitment to the health of the dealer is a key reason that Toyota sells more vehicles than any other </w:t>
      </w:r>
      <w:r w:rsidR="006440CF">
        <w:rPr>
          <w:rStyle w:val="jsgrdq"/>
          <w:color w:val="000000"/>
        </w:rPr>
        <w:t>brand</w:t>
      </w:r>
      <w:r w:rsidR="00320056" w:rsidRPr="00E641BC">
        <w:rPr>
          <w:rStyle w:val="jsgrdq"/>
          <w:color w:val="000000"/>
        </w:rPr>
        <w:t>. It’s truly a win-win-win for the customer, the dealer</w:t>
      </w:r>
      <w:r w:rsidR="00F118C6">
        <w:rPr>
          <w:rStyle w:val="jsgrdq"/>
          <w:color w:val="000000"/>
        </w:rPr>
        <w:t>,</w:t>
      </w:r>
      <w:r w:rsidR="00320056" w:rsidRPr="00E641BC">
        <w:rPr>
          <w:rStyle w:val="jsgrdq"/>
          <w:color w:val="000000"/>
        </w:rPr>
        <w:t xml:space="preserve"> and the OEM.</w:t>
      </w:r>
    </w:p>
    <w:p w14:paraId="6235C933" w14:textId="77777777" w:rsidR="00F15C33" w:rsidRDefault="00F15C33" w:rsidP="005F1A20">
      <w:pPr>
        <w:pStyle w:val="ListParagraph"/>
        <w:spacing w:after="120" w:line="240" w:lineRule="auto"/>
        <w:ind w:left="1440"/>
        <w:rPr>
          <w:rFonts w:ascii="Calibri" w:hAnsi="Calibri" w:cs="Calibri"/>
        </w:rPr>
      </w:pPr>
    </w:p>
    <w:p w14:paraId="10B6D888" w14:textId="1604119F" w:rsidR="00864443" w:rsidRDefault="00777F47" w:rsidP="005F1A20">
      <w:pPr>
        <w:pStyle w:val="ListParagraph"/>
        <w:numPr>
          <w:ilvl w:val="0"/>
          <w:numId w:val="1"/>
        </w:numPr>
        <w:spacing w:after="120" w:line="240" w:lineRule="auto"/>
        <w:rPr>
          <w:rStyle w:val="A5"/>
          <w:rFonts w:ascii="Calibri" w:hAnsi="Calibri" w:cs="Calibri"/>
          <w:sz w:val="22"/>
          <w:szCs w:val="22"/>
        </w:rPr>
      </w:pPr>
      <w:r w:rsidRPr="00777F47">
        <w:rPr>
          <w:rStyle w:val="A5"/>
          <w:rFonts w:ascii="Calibri" w:hAnsi="Calibri" w:cs="Calibri"/>
          <w:b/>
          <w:bCs/>
          <w:i/>
          <w:iCs/>
          <w:sz w:val="22"/>
          <w:szCs w:val="22"/>
        </w:rPr>
        <w:t>I</w:t>
      </w:r>
      <w:r w:rsidR="00864443" w:rsidRPr="00777F47">
        <w:rPr>
          <w:rStyle w:val="A5"/>
          <w:rFonts w:ascii="Calibri" w:hAnsi="Calibri" w:cs="Calibri"/>
          <w:b/>
          <w:bCs/>
          <w:i/>
          <w:iCs/>
          <w:sz w:val="22"/>
          <w:szCs w:val="22"/>
        </w:rPr>
        <w:t>nvestors and dealers are creating partnerships</w:t>
      </w:r>
      <w:r w:rsidR="00864443">
        <w:rPr>
          <w:rStyle w:val="A5"/>
          <w:rFonts w:ascii="Calibri" w:hAnsi="Calibri" w:cs="Calibri"/>
          <w:sz w:val="22"/>
          <w:szCs w:val="22"/>
        </w:rPr>
        <w:t xml:space="preserve"> – There are a number of investment companies and family offices that are seeking to acquire minority or majority equity positions in dealer groups. Some dealers find taking on an investor is preferable to selling out entirely. They retain </w:t>
      </w:r>
      <w:r w:rsidR="00B05623">
        <w:rPr>
          <w:rStyle w:val="A5"/>
          <w:rFonts w:ascii="Calibri" w:hAnsi="Calibri" w:cs="Calibri"/>
          <w:sz w:val="22"/>
          <w:szCs w:val="22"/>
        </w:rPr>
        <w:t xml:space="preserve">a portion </w:t>
      </w:r>
      <w:r w:rsidR="00864443">
        <w:rPr>
          <w:rStyle w:val="A5"/>
          <w:rFonts w:ascii="Calibri" w:hAnsi="Calibri" w:cs="Calibri"/>
          <w:sz w:val="22"/>
          <w:szCs w:val="22"/>
        </w:rPr>
        <w:t xml:space="preserve">of the ongoing profits and remain involved in the business until they decide to fully exit. And the investor may help fund additional acquisitions if the dealer is interested in growth capital. Our recent transaction for John Elway’s Crown Toyota is such an example. The parties who sold a majority stake in the dealership wanted to remain involved with Toyota and enjoy ongoing cash flows. </w:t>
      </w:r>
      <w:r w:rsidR="00D41740">
        <w:rPr>
          <w:rStyle w:val="A5"/>
          <w:rFonts w:ascii="Calibri" w:hAnsi="Calibri" w:cs="Calibri"/>
          <w:sz w:val="22"/>
          <w:szCs w:val="22"/>
        </w:rPr>
        <w:t>Swickard Auto Group, the buyer of the majority stake, will enjoy continuity of management and market knowledge to help them maintain the dealership as one of the best performing dealerships in the US.</w:t>
      </w:r>
    </w:p>
    <w:p w14:paraId="0EE1ED19" w14:textId="77777777" w:rsidR="00864443" w:rsidRPr="00BD77FE" w:rsidRDefault="00864443" w:rsidP="005F1A20">
      <w:pPr>
        <w:pStyle w:val="ListParagraph"/>
        <w:spacing w:after="120" w:line="240" w:lineRule="auto"/>
        <w:rPr>
          <w:rStyle w:val="A5"/>
          <w:rFonts w:ascii="Calibri" w:hAnsi="Calibri" w:cs="Calibri"/>
          <w:sz w:val="22"/>
          <w:szCs w:val="22"/>
        </w:rPr>
      </w:pPr>
    </w:p>
    <w:p w14:paraId="3CB86A49" w14:textId="14936991" w:rsidR="00F15C33" w:rsidRPr="00F15C33" w:rsidRDefault="00F15C33" w:rsidP="005F1A20">
      <w:pPr>
        <w:pStyle w:val="ListParagraph"/>
        <w:numPr>
          <w:ilvl w:val="0"/>
          <w:numId w:val="1"/>
        </w:numPr>
        <w:spacing w:after="120" w:line="240" w:lineRule="auto"/>
        <w:rPr>
          <w:rFonts w:ascii="Calibri" w:hAnsi="Calibri" w:cs="Calibri"/>
          <w:color w:val="000000"/>
        </w:rPr>
      </w:pPr>
      <w:r w:rsidRPr="00BD77FE">
        <w:rPr>
          <w:rStyle w:val="A5"/>
          <w:rFonts w:ascii="Calibri" w:hAnsi="Calibri" w:cs="Calibri"/>
          <w:b/>
          <w:bCs/>
          <w:i/>
          <w:iCs/>
          <w:sz w:val="22"/>
          <w:szCs w:val="22"/>
        </w:rPr>
        <w:t xml:space="preserve">Pent-up </w:t>
      </w:r>
      <w:r w:rsidR="005C11AD">
        <w:rPr>
          <w:rStyle w:val="A5"/>
          <w:rFonts w:ascii="Calibri" w:hAnsi="Calibri" w:cs="Calibri"/>
          <w:b/>
          <w:bCs/>
          <w:i/>
          <w:iCs/>
          <w:sz w:val="22"/>
          <w:szCs w:val="22"/>
        </w:rPr>
        <w:t xml:space="preserve">consumer </w:t>
      </w:r>
      <w:r w:rsidRPr="00BD77FE">
        <w:rPr>
          <w:rStyle w:val="A5"/>
          <w:rFonts w:ascii="Calibri" w:hAnsi="Calibri" w:cs="Calibri"/>
          <w:b/>
          <w:bCs/>
          <w:i/>
          <w:iCs/>
          <w:sz w:val="22"/>
          <w:szCs w:val="22"/>
        </w:rPr>
        <w:t>demand is still growing</w:t>
      </w:r>
      <w:r w:rsidR="00F118C6">
        <w:rPr>
          <w:rStyle w:val="A5"/>
          <w:rFonts w:ascii="Calibri" w:hAnsi="Calibri" w:cs="Calibri"/>
          <w:b/>
          <w:bCs/>
          <w:i/>
          <w:iCs/>
          <w:sz w:val="22"/>
          <w:szCs w:val="22"/>
        </w:rPr>
        <w:t>,</w:t>
      </w:r>
      <w:r w:rsidRPr="00BD77FE">
        <w:rPr>
          <w:rStyle w:val="A5"/>
          <w:rFonts w:ascii="Calibri" w:hAnsi="Calibri" w:cs="Calibri"/>
          <w:b/>
          <w:bCs/>
          <w:i/>
          <w:iCs/>
          <w:sz w:val="22"/>
          <w:szCs w:val="22"/>
        </w:rPr>
        <w:t xml:space="preserve"> so the outlook for future profits looks bright</w:t>
      </w:r>
      <w:r>
        <w:rPr>
          <w:rStyle w:val="A5"/>
          <w:rFonts w:ascii="Calibri" w:hAnsi="Calibri" w:cs="Calibri"/>
          <w:sz w:val="22"/>
          <w:szCs w:val="22"/>
        </w:rPr>
        <w:t xml:space="preserve"> - </w:t>
      </w:r>
      <w:r w:rsidRPr="004E4629">
        <w:rPr>
          <w:rFonts w:ascii="Calibri" w:hAnsi="Calibri" w:cs="Calibri"/>
        </w:rPr>
        <w:t xml:space="preserve">The drop in sales today is solely caused by a lack of supply as the level of demand is high. Many in our industry wonder how much longer current conditions will continue. It appears to us as though demand will exceed supply for </w:t>
      </w:r>
      <w:r w:rsidR="00B05623">
        <w:rPr>
          <w:rFonts w:ascii="Calibri" w:hAnsi="Calibri" w:cs="Calibri"/>
        </w:rPr>
        <w:t>several more years</w:t>
      </w:r>
      <w:r w:rsidRPr="004E4629">
        <w:rPr>
          <w:rFonts w:ascii="Calibri" w:hAnsi="Calibri" w:cs="Calibri"/>
        </w:rPr>
        <w:t>.</w:t>
      </w:r>
    </w:p>
    <w:p w14:paraId="0FBB9F47" w14:textId="77777777" w:rsidR="00F15C33" w:rsidRPr="00D0768A" w:rsidRDefault="00F15C33" w:rsidP="005F1A20">
      <w:pPr>
        <w:pStyle w:val="ListParagraph"/>
        <w:spacing w:after="120" w:line="240" w:lineRule="auto"/>
        <w:rPr>
          <w:rFonts w:ascii="Calibri" w:hAnsi="Calibri" w:cs="Calibri"/>
          <w:color w:val="000000"/>
        </w:rPr>
      </w:pPr>
    </w:p>
    <w:p w14:paraId="15FC117A" w14:textId="6EBE0891" w:rsidR="009A370F" w:rsidRPr="009A370F" w:rsidRDefault="00EC37A7" w:rsidP="005F1A20">
      <w:pPr>
        <w:pStyle w:val="ListParagraph"/>
        <w:numPr>
          <w:ilvl w:val="0"/>
          <w:numId w:val="1"/>
        </w:numPr>
        <w:spacing w:after="120" w:line="240" w:lineRule="auto"/>
        <w:rPr>
          <w:rFonts w:ascii="Calibri" w:hAnsi="Calibri" w:cs="Calibri"/>
        </w:rPr>
      </w:pPr>
      <w:r w:rsidRPr="00A54735">
        <w:rPr>
          <w:rStyle w:val="A5"/>
          <w:rFonts w:ascii="Calibri" w:hAnsi="Calibri" w:cs="Calibri"/>
          <w:b/>
          <w:bCs/>
          <w:i/>
          <w:iCs/>
          <w:sz w:val="22"/>
          <w:szCs w:val="22"/>
        </w:rPr>
        <w:t>Inflation remains elevated</w:t>
      </w:r>
      <w:r w:rsidR="009A370F" w:rsidRPr="009A370F">
        <w:rPr>
          <w:rStyle w:val="A5"/>
          <w:rFonts w:ascii="Calibri" w:hAnsi="Calibri" w:cs="Calibri"/>
          <w:sz w:val="22"/>
          <w:szCs w:val="22"/>
        </w:rPr>
        <w:t xml:space="preserve"> - </w:t>
      </w:r>
      <w:r w:rsidR="009A370F" w:rsidRPr="009A370F">
        <w:rPr>
          <w:rFonts w:ascii="Calibri" w:hAnsi="Calibri" w:cs="Calibri"/>
        </w:rPr>
        <w:t xml:space="preserve">The 12-month inflation rate </w:t>
      </w:r>
      <w:r w:rsidR="00172EAE">
        <w:rPr>
          <w:rFonts w:ascii="Calibri" w:hAnsi="Calibri" w:cs="Calibri"/>
        </w:rPr>
        <w:t xml:space="preserve">was </w:t>
      </w:r>
      <w:r w:rsidR="009A370F" w:rsidRPr="009A370F">
        <w:rPr>
          <w:rFonts w:ascii="Calibri" w:hAnsi="Calibri" w:cs="Calibri"/>
        </w:rPr>
        <w:t>8.5% in July 2022.</w:t>
      </w:r>
      <w:r w:rsidR="00077CDB">
        <w:rPr>
          <w:rFonts w:ascii="Calibri" w:hAnsi="Calibri" w:cs="Calibri"/>
        </w:rPr>
        <w:t xml:space="preserve"> </w:t>
      </w:r>
      <w:r w:rsidR="009A370F" w:rsidRPr="009A370F">
        <w:rPr>
          <w:rFonts w:ascii="Calibri" w:hAnsi="Calibri" w:cs="Calibri"/>
        </w:rPr>
        <w:t>Inflation was 9.1% in June, the highest rate since 1981. Inflation is even higher in the auto industry as the prices of new and used vehicles jumped double digits since last year. If inflation outpaces wage gains, consumers will have a harder time affording vehicles, and dealership profits may suffer.</w:t>
      </w:r>
    </w:p>
    <w:p w14:paraId="623F97D3" w14:textId="77777777" w:rsidR="009A370F" w:rsidRDefault="009A370F" w:rsidP="005F1A20">
      <w:pPr>
        <w:pStyle w:val="ListParagraph"/>
        <w:spacing w:after="120" w:line="240" w:lineRule="auto"/>
        <w:rPr>
          <w:rStyle w:val="A5"/>
          <w:rFonts w:ascii="Calibri" w:hAnsi="Calibri" w:cs="Calibri"/>
          <w:sz w:val="22"/>
          <w:szCs w:val="22"/>
        </w:rPr>
      </w:pPr>
    </w:p>
    <w:p w14:paraId="5A4882DB" w14:textId="4DFEBD0D" w:rsidR="009A370F" w:rsidRPr="009A370F" w:rsidRDefault="00EC37A7" w:rsidP="005F1A20">
      <w:pPr>
        <w:pStyle w:val="ListParagraph"/>
        <w:numPr>
          <w:ilvl w:val="0"/>
          <w:numId w:val="1"/>
        </w:numPr>
        <w:spacing w:after="120" w:line="240" w:lineRule="auto"/>
        <w:rPr>
          <w:rFonts w:ascii="Calibri" w:hAnsi="Calibri" w:cs="Calibri"/>
          <w:color w:val="000000"/>
        </w:rPr>
      </w:pPr>
      <w:r w:rsidRPr="00A54735">
        <w:rPr>
          <w:rStyle w:val="A5"/>
          <w:rFonts w:ascii="Calibri" w:hAnsi="Calibri" w:cs="Calibri"/>
          <w:b/>
          <w:bCs/>
          <w:i/>
          <w:iCs/>
          <w:sz w:val="22"/>
          <w:szCs w:val="22"/>
        </w:rPr>
        <w:t xml:space="preserve">GDP </w:t>
      </w:r>
      <w:r w:rsidR="00D41740">
        <w:rPr>
          <w:rStyle w:val="A5"/>
          <w:rFonts w:ascii="Calibri" w:hAnsi="Calibri" w:cs="Calibri"/>
          <w:b/>
          <w:bCs/>
          <w:i/>
          <w:iCs/>
          <w:sz w:val="22"/>
          <w:szCs w:val="22"/>
        </w:rPr>
        <w:t>d</w:t>
      </w:r>
      <w:r w:rsidRPr="00A54735">
        <w:rPr>
          <w:rStyle w:val="A5"/>
          <w:rFonts w:ascii="Calibri" w:hAnsi="Calibri" w:cs="Calibri"/>
          <w:b/>
          <w:bCs/>
          <w:i/>
          <w:iCs/>
          <w:sz w:val="22"/>
          <w:szCs w:val="22"/>
        </w:rPr>
        <w:t>eclined for a second straight quarter</w:t>
      </w:r>
      <w:r w:rsidR="00AA7CD6" w:rsidRPr="009A370F">
        <w:rPr>
          <w:rStyle w:val="A5"/>
          <w:rFonts w:ascii="Calibri" w:hAnsi="Calibri" w:cs="Calibri"/>
          <w:sz w:val="22"/>
          <w:szCs w:val="22"/>
        </w:rPr>
        <w:t xml:space="preserve"> </w:t>
      </w:r>
      <w:r w:rsidR="009A370F" w:rsidRPr="009A370F">
        <w:rPr>
          <w:rStyle w:val="A5"/>
          <w:rFonts w:ascii="Calibri" w:hAnsi="Calibri" w:cs="Calibri"/>
          <w:sz w:val="22"/>
          <w:szCs w:val="22"/>
        </w:rPr>
        <w:t xml:space="preserve">- </w:t>
      </w:r>
      <w:r w:rsidR="009A370F" w:rsidRPr="009A370F">
        <w:rPr>
          <w:rFonts w:ascii="Calibri" w:hAnsi="Calibri" w:cs="Calibri"/>
        </w:rPr>
        <w:t xml:space="preserve">GDP decreased at an annual rate of 0.9% in Q2 2022, the second </w:t>
      </w:r>
      <w:r w:rsidR="00F118C6">
        <w:rPr>
          <w:rFonts w:ascii="Calibri" w:hAnsi="Calibri" w:cs="Calibri"/>
        </w:rPr>
        <w:t>consecutive</w:t>
      </w:r>
      <w:r w:rsidR="00F118C6" w:rsidRPr="009A370F">
        <w:rPr>
          <w:rFonts w:ascii="Calibri" w:hAnsi="Calibri" w:cs="Calibri"/>
        </w:rPr>
        <w:t xml:space="preserve"> </w:t>
      </w:r>
      <w:r w:rsidR="009A370F" w:rsidRPr="009A370F">
        <w:rPr>
          <w:rFonts w:ascii="Calibri" w:hAnsi="Calibri" w:cs="Calibri"/>
        </w:rPr>
        <w:t>quarter with a GDP decrease after six straight quarters of GDP growth. Dealers should be able to weather a decline in economic activity of this level.</w:t>
      </w:r>
    </w:p>
    <w:p w14:paraId="2AD0FC07" w14:textId="77777777" w:rsidR="009A370F" w:rsidRPr="009A370F" w:rsidRDefault="009A370F" w:rsidP="005F1A20">
      <w:pPr>
        <w:pStyle w:val="ListParagraph"/>
        <w:spacing w:line="240" w:lineRule="auto"/>
        <w:rPr>
          <w:rStyle w:val="A5"/>
          <w:rFonts w:ascii="Calibri" w:hAnsi="Calibri" w:cs="Calibri"/>
          <w:sz w:val="22"/>
          <w:szCs w:val="22"/>
        </w:rPr>
      </w:pPr>
    </w:p>
    <w:p w14:paraId="49BDD4AD" w14:textId="40A7750A" w:rsidR="00AA7CD6" w:rsidRPr="009A370F" w:rsidRDefault="009A370F" w:rsidP="005F1A20">
      <w:pPr>
        <w:pStyle w:val="ListParagraph"/>
        <w:numPr>
          <w:ilvl w:val="0"/>
          <w:numId w:val="1"/>
        </w:numPr>
        <w:spacing w:after="120" w:line="240" w:lineRule="auto"/>
        <w:rPr>
          <w:rFonts w:ascii="Calibri" w:hAnsi="Calibri" w:cs="Calibri"/>
          <w:color w:val="000000"/>
        </w:rPr>
      </w:pPr>
      <w:r w:rsidRPr="00A54735">
        <w:rPr>
          <w:rStyle w:val="A5"/>
          <w:rFonts w:ascii="Calibri" w:hAnsi="Calibri" w:cs="Calibri"/>
          <w:b/>
          <w:bCs/>
          <w:i/>
          <w:iCs/>
          <w:sz w:val="22"/>
          <w:szCs w:val="22"/>
        </w:rPr>
        <w:lastRenderedPageBreak/>
        <w:t>Unemployment returns to pre-pandemic levels</w:t>
      </w:r>
      <w:r>
        <w:rPr>
          <w:rStyle w:val="A5"/>
          <w:rFonts w:ascii="Calibri" w:hAnsi="Calibri" w:cs="Calibri"/>
          <w:sz w:val="22"/>
          <w:szCs w:val="22"/>
        </w:rPr>
        <w:t xml:space="preserve"> – The </w:t>
      </w:r>
      <w:r w:rsidRPr="00C6785D">
        <w:rPr>
          <w:rFonts w:ascii="Calibri" w:hAnsi="Calibri" w:cs="Calibri"/>
        </w:rPr>
        <w:t xml:space="preserve">unemployment rate </w:t>
      </w:r>
      <w:r>
        <w:rPr>
          <w:rFonts w:ascii="Calibri" w:hAnsi="Calibri" w:cs="Calibri"/>
        </w:rPr>
        <w:t>dropped to</w:t>
      </w:r>
      <w:r w:rsidRPr="00C6785D">
        <w:rPr>
          <w:rFonts w:ascii="Calibri" w:hAnsi="Calibri" w:cs="Calibri"/>
        </w:rPr>
        <w:t xml:space="preserve"> 3.</w:t>
      </w:r>
      <w:r>
        <w:rPr>
          <w:rFonts w:ascii="Calibri" w:hAnsi="Calibri" w:cs="Calibri"/>
        </w:rPr>
        <w:t>5</w:t>
      </w:r>
      <w:r w:rsidRPr="00C6785D">
        <w:rPr>
          <w:rFonts w:ascii="Calibri" w:hAnsi="Calibri" w:cs="Calibri"/>
        </w:rPr>
        <w:t>% in Ju</w:t>
      </w:r>
      <w:r>
        <w:rPr>
          <w:rFonts w:ascii="Calibri" w:hAnsi="Calibri" w:cs="Calibri"/>
        </w:rPr>
        <w:t>ly</w:t>
      </w:r>
      <w:r w:rsidRPr="00C6785D">
        <w:rPr>
          <w:rFonts w:ascii="Calibri" w:hAnsi="Calibri" w:cs="Calibri"/>
        </w:rPr>
        <w:t xml:space="preserve"> 2022</w:t>
      </w:r>
      <w:r>
        <w:rPr>
          <w:rFonts w:ascii="Calibri" w:hAnsi="Calibri" w:cs="Calibri"/>
        </w:rPr>
        <w:t>, the same rate as February 2020. The e</w:t>
      </w:r>
      <w:r w:rsidRPr="00C6785D">
        <w:rPr>
          <w:rFonts w:ascii="Calibri" w:hAnsi="Calibri" w:cs="Calibri"/>
        </w:rPr>
        <w:t xml:space="preserve">conomy generated </w:t>
      </w:r>
      <w:r>
        <w:rPr>
          <w:rFonts w:ascii="Calibri" w:hAnsi="Calibri" w:cs="Calibri"/>
        </w:rPr>
        <w:t>528</w:t>
      </w:r>
      <w:r w:rsidRPr="00C6785D">
        <w:rPr>
          <w:rFonts w:ascii="Calibri" w:hAnsi="Calibri" w:cs="Calibri"/>
        </w:rPr>
        <w:t>,000 new jobs, according to the Labor Department</w:t>
      </w:r>
      <w:r>
        <w:rPr>
          <w:rFonts w:ascii="Calibri" w:hAnsi="Calibri" w:cs="Calibri"/>
        </w:rPr>
        <w:t>.</w:t>
      </w:r>
      <w:r w:rsidRPr="00C6785D">
        <w:rPr>
          <w:rFonts w:ascii="Calibri" w:hAnsi="Calibri" w:cs="Calibri"/>
        </w:rPr>
        <w:t xml:space="preserve"> </w:t>
      </w:r>
      <w:r>
        <w:rPr>
          <w:rFonts w:ascii="Calibri" w:hAnsi="Calibri" w:cs="Calibri"/>
        </w:rPr>
        <w:t xml:space="preserve">And wages are rising (+5% or more each month this year) as employers fight to remain competitive </w:t>
      </w:r>
      <w:r w:rsidR="00187CF4">
        <w:rPr>
          <w:rFonts w:ascii="Calibri" w:hAnsi="Calibri" w:cs="Calibri"/>
        </w:rPr>
        <w:t>in this environment</w:t>
      </w:r>
      <w:r>
        <w:rPr>
          <w:rFonts w:ascii="Calibri" w:hAnsi="Calibri" w:cs="Calibri"/>
        </w:rPr>
        <w:t>.</w:t>
      </w:r>
    </w:p>
    <w:p w14:paraId="73430789" w14:textId="77777777" w:rsidR="009A370F" w:rsidRPr="009A370F" w:rsidRDefault="009A370F" w:rsidP="005F1A20">
      <w:pPr>
        <w:pStyle w:val="ListParagraph"/>
        <w:spacing w:line="240" w:lineRule="auto"/>
        <w:rPr>
          <w:rStyle w:val="A5"/>
          <w:rFonts w:ascii="Calibri" w:hAnsi="Calibri" w:cs="Calibri"/>
          <w:sz w:val="22"/>
          <w:szCs w:val="22"/>
        </w:rPr>
      </w:pPr>
    </w:p>
    <w:p w14:paraId="11691942" w14:textId="7341C7E3" w:rsidR="00F15C33" w:rsidRPr="00BD77FE" w:rsidRDefault="00A54735" w:rsidP="005F1A20">
      <w:pPr>
        <w:pStyle w:val="ListParagraph"/>
        <w:numPr>
          <w:ilvl w:val="0"/>
          <w:numId w:val="1"/>
        </w:numPr>
        <w:spacing w:after="120" w:line="240" w:lineRule="auto"/>
        <w:rPr>
          <w:rFonts w:ascii="Calibri" w:hAnsi="Calibri" w:cs="Calibri"/>
          <w:color w:val="000000"/>
        </w:rPr>
      </w:pPr>
      <w:r w:rsidRPr="00A54735">
        <w:rPr>
          <w:rStyle w:val="A5"/>
          <w:rFonts w:ascii="Calibri" w:hAnsi="Calibri" w:cs="Calibri"/>
          <w:b/>
          <w:bCs/>
          <w:i/>
          <w:iCs/>
          <w:sz w:val="22"/>
          <w:szCs w:val="22"/>
        </w:rPr>
        <w:t>The “</w:t>
      </w:r>
      <w:r w:rsidR="009A370F" w:rsidRPr="00A54735">
        <w:rPr>
          <w:rStyle w:val="A5"/>
          <w:rFonts w:ascii="Calibri" w:hAnsi="Calibri" w:cs="Calibri"/>
          <w:b/>
          <w:bCs/>
          <w:i/>
          <w:iCs/>
          <w:sz w:val="22"/>
          <w:szCs w:val="22"/>
        </w:rPr>
        <w:t>Chipdemic</w:t>
      </w:r>
      <w:r w:rsidRPr="00A54735">
        <w:rPr>
          <w:rStyle w:val="A5"/>
          <w:rFonts w:ascii="Calibri" w:hAnsi="Calibri" w:cs="Calibri"/>
          <w:b/>
          <w:bCs/>
          <w:i/>
          <w:iCs/>
          <w:sz w:val="22"/>
          <w:szCs w:val="22"/>
        </w:rPr>
        <w:t>”</w:t>
      </w:r>
      <w:r w:rsidR="009A370F" w:rsidRPr="00A54735">
        <w:rPr>
          <w:rStyle w:val="A5"/>
          <w:rFonts w:ascii="Calibri" w:hAnsi="Calibri" w:cs="Calibri"/>
          <w:b/>
          <w:bCs/>
          <w:i/>
          <w:iCs/>
          <w:sz w:val="22"/>
          <w:szCs w:val="22"/>
        </w:rPr>
        <w:t xml:space="preserve"> continues to plague inventories</w:t>
      </w:r>
      <w:r w:rsidR="009A370F">
        <w:rPr>
          <w:rStyle w:val="A5"/>
          <w:rFonts w:ascii="Calibri" w:hAnsi="Calibri" w:cs="Calibri"/>
          <w:sz w:val="22"/>
          <w:szCs w:val="22"/>
        </w:rPr>
        <w:t xml:space="preserve"> - </w:t>
      </w:r>
      <w:r w:rsidR="009A370F">
        <w:rPr>
          <w:rFonts w:ascii="Calibri" w:hAnsi="Calibri" w:cs="Calibri"/>
        </w:rPr>
        <w:t>S</w:t>
      </w:r>
      <w:r w:rsidR="009A370F" w:rsidRPr="004D7665">
        <w:rPr>
          <w:rFonts w:ascii="Calibri" w:hAnsi="Calibri" w:cs="Calibri"/>
        </w:rPr>
        <w:t xml:space="preserve">ince April 2021, OEMs have struggled with a shortage of microchips. As production continues to get cut and the production outlook remains grim, the SAAR </w:t>
      </w:r>
      <w:r w:rsidR="009A370F">
        <w:rPr>
          <w:rFonts w:ascii="Calibri" w:hAnsi="Calibri" w:cs="Calibri"/>
        </w:rPr>
        <w:t>hit</w:t>
      </w:r>
      <w:r w:rsidR="009A370F" w:rsidRPr="004D7665">
        <w:rPr>
          <w:rFonts w:ascii="Calibri" w:hAnsi="Calibri" w:cs="Calibri"/>
        </w:rPr>
        <w:t xml:space="preserve"> </w:t>
      </w:r>
      <w:r w:rsidR="009A370F">
        <w:rPr>
          <w:rFonts w:ascii="Calibri" w:hAnsi="Calibri" w:cs="Calibri"/>
        </w:rPr>
        <w:t>13.4</w:t>
      </w:r>
      <w:r w:rsidR="009A370F" w:rsidRPr="004D7665">
        <w:rPr>
          <w:rFonts w:ascii="Calibri" w:hAnsi="Calibri" w:cs="Calibri"/>
        </w:rPr>
        <w:t>M in Ju</w:t>
      </w:r>
      <w:r w:rsidR="009A370F">
        <w:rPr>
          <w:rFonts w:ascii="Calibri" w:hAnsi="Calibri" w:cs="Calibri"/>
        </w:rPr>
        <w:t>ly</w:t>
      </w:r>
      <w:r w:rsidR="009A370F" w:rsidRPr="004D7665">
        <w:rPr>
          <w:rFonts w:ascii="Calibri" w:hAnsi="Calibri" w:cs="Calibri"/>
        </w:rPr>
        <w:t xml:space="preserve"> 2022, </w:t>
      </w:r>
      <w:r w:rsidR="009A370F">
        <w:rPr>
          <w:rFonts w:ascii="Calibri" w:hAnsi="Calibri" w:cs="Calibri"/>
        </w:rPr>
        <w:t>9</w:t>
      </w:r>
      <w:r w:rsidR="009A370F" w:rsidRPr="004D7665">
        <w:rPr>
          <w:rFonts w:ascii="Calibri" w:hAnsi="Calibri" w:cs="Calibri"/>
        </w:rPr>
        <w:t>% below the Ju</w:t>
      </w:r>
      <w:r w:rsidR="009A370F">
        <w:rPr>
          <w:rFonts w:ascii="Calibri" w:hAnsi="Calibri" w:cs="Calibri"/>
        </w:rPr>
        <w:t>ly</w:t>
      </w:r>
      <w:r w:rsidR="009A370F" w:rsidRPr="004D7665">
        <w:rPr>
          <w:rFonts w:ascii="Calibri" w:hAnsi="Calibri" w:cs="Calibri"/>
        </w:rPr>
        <w:t xml:space="preserve"> 2021 level. </w:t>
      </w:r>
      <w:r w:rsidR="009A370F">
        <w:rPr>
          <w:rFonts w:ascii="Calibri" w:hAnsi="Calibri" w:cs="Calibri"/>
        </w:rPr>
        <w:t xml:space="preserve">Many analysts have </w:t>
      </w:r>
      <w:r w:rsidR="00F118C6" w:rsidRPr="00F118C6">
        <w:rPr>
          <w:rFonts w:ascii="Calibri" w:hAnsi="Calibri" w:cs="Calibri"/>
        </w:rPr>
        <w:t xml:space="preserve">recently lowered their sales forecasts for 2022 and 2023 </w:t>
      </w:r>
      <w:r w:rsidR="009A370F">
        <w:rPr>
          <w:rFonts w:ascii="Calibri" w:hAnsi="Calibri" w:cs="Calibri"/>
        </w:rPr>
        <w:t xml:space="preserve">due to a protracted production recovery. </w:t>
      </w:r>
      <w:r w:rsidR="009A370F" w:rsidRPr="004D7665">
        <w:rPr>
          <w:rFonts w:ascii="Calibri" w:hAnsi="Calibri" w:cs="Calibri"/>
        </w:rPr>
        <w:t>With continued production issues, demand seems likely to exceed supply for the foreseeable future.</w:t>
      </w:r>
      <w:r w:rsidR="00C66421">
        <w:rPr>
          <w:rFonts w:ascii="Calibri" w:hAnsi="Calibri" w:cs="Calibri"/>
        </w:rPr>
        <w:t xml:space="preserve"> </w:t>
      </w:r>
      <w:r w:rsidR="00C66421" w:rsidRPr="00C66421">
        <w:rPr>
          <w:rFonts w:ascii="Calibri" w:hAnsi="Calibri" w:cs="Calibri"/>
        </w:rPr>
        <w:t>Assuming that the OEMs would be ready to produce at this estimated maximum capacity by the beginning of 2023, which seems very unlikely given the ongoing supply chain issues, it would take an estimated three years to catch up with the lost production from 2020</w:t>
      </w:r>
      <w:r w:rsidR="00187CF4">
        <w:rPr>
          <w:rFonts w:ascii="Calibri" w:hAnsi="Calibri" w:cs="Calibri"/>
        </w:rPr>
        <w:t>-</w:t>
      </w:r>
      <w:r w:rsidR="00C66421" w:rsidRPr="00C66421">
        <w:rPr>
          <w:rFonts w:ascii="Calibri" w:hAnsi="Calibri" w:cs="Calibri"/>
        </w:rPr>
        <w:t>2022 (5.1M lost units / 1.7 M units excess capacity per year = 3 years). By this calculation, we will remain in a period where demand exceeds supply well into 2025. Margins and profits are likely to remain elevated. And even as supply comes back at higher levels and margins begin to drop, the total amount of gross profit from variable ops may remain close to current levels.</w:t>
      </w:r>
    </w:p>
    <w:p w14:paraId="2BD3F177" w14:textId="77777777" w:rsidR="00CB0432" w:rsidRPr="00BD77FE" w:rsidRDefault="00CB0432" w:rsidP="005F1A20">
      <w:pPr>
        <w:pStyle w:val="ListParagraph"/>
        <w:spacing w:line="240" w:lineRule="auto"/>
        <w:rPr>
          <w:rFonts w:ascii="Calibri" w:hAnsi="Calibri" w:cs="Calibri"/>
          <w:color w:val="000000"/>
        </w:rPr>
      </w:pPr>
    </w:p>
    <w:p w14:paraId="210BE72D" w14:textId="63BF308F" w:rsidR="00A54735" w:rsidRPr="00CE4EA1" w:rsidRDefault="00CB0432" w:rsidP="005F1A20">
      <w:pPr>
        <w:pStyle w:val="ListParagraph"/>
        <w:numPr>
          <w:ilvl w:val="0"/>
          <w:numId w:val="1"/>
        </w:numPr>
        <w:spacing w:after="120" w:line="240" w:lineRule="auto"/>
        <w:rPr>
          <w:rStyle w:val="A5"/>
          <w:rFonts w:ascii="Calibri" w:hAnsi="Calibri" w:cs="Calibri"/>
          <w:sz w:val="22"/>
          <w:szCs w:val="22"/>
        </w:rPr>
      </w:pPr>
      <w:r w:rsidRPr="00777F47">
        <w:rPr>
          <w:rFonts w:ascii="Calibri" w:hAnsi="Calibri" w:cs="Calibri"/>
          <w:b/>
          <w:bCs/>
          <w:i/>
          <w:iCs/>
          <w:color w:val="000000"/>
        </w:rPr>
        <w:t>Fixed operations are up due to higher customer pay, recalls, and higher labor rates</w:t>
      </w:r>
      <w:r w:rsidR="00777F47">
        <w:rPr>
          <w:rFonts w:ascii="Calibri" w:hAnsi="Calibri" w:cs="Calibri"/>
          <w:color w:val="000000"/>
        </w:rPr>
        <w:t xml:space="preserve"> - </w:t>
      </w:r>
      <w:r>
        <w:rPr>
          <w:rFonts w:ascii="Calibri" w:hAnsi="Calibri" w:cs="Calibri"/>
          <w:color w:val="000000"/>
        </w:rPr>
        <w:t>Fixed operations are hitting on all cylinders for dealers right now. These three factors of higher customer pay, recalls, and higher labor rates ha</w:t>
      </w:r>
      <w:r w:rsidR="00172EAE">
        <w:rPr>
          <w:rFonts w:ascii="Calibri" w:hAnsi="Calibri" w:cs="Calibri"/>
          <w:color w:val="000000"/>
        </w:rPr>
        <w:t>ve</w:t>
      </w:r>
      <w:r>
        <w:rPr>
          <w:rFonts w:ascii="Calibri" w:hAnsi="Calibri" w:cs="Calibri"/>
          <w:color w:val="000000"/>
        </w:rPr>
        <w:t xml:space="preserve"> fixed operations booming for dealers</w:t>
      </w:r>
      <w:r w:rsidR="00F118C6">
        <w:rPr>
          <w:rFonts w:ascii="Calibri" w:hAnsi="Calibri" w:cs="Calibri"/>
          <w:color w:val="000000"/>
        </w:rPr>
        <w:t>,</w:t>
      </w:r>
      <w:r>
        <w:rPr>
          <w:rFonts w:ascii="Calibri" w:hAnsi="Calibri" w:cs="Calibri"/>
          <w:color w:val="000000"/>
        </w:rPr>
        <w:t xml:space="preserve"> and gross profits are up an impressive 17.3% </w:t>
      </w:r>
      <w:r w:rsidR="00187CF4">
        <w:rPr>
          <w:rFonts w:ascii="Calibri" w:hAnsi="Calibri" w:cs="Calibri"/>
          <w:color w:val="000000"/>
        </w:rPr>
        <w:t>in</w:t>
      </w:r>
      <w:r>
        <w:rPr>
          <w:rFonts w:ascii="Calibri" w:hAnsi="Calibri" w:cs="Calibri"/>
          <w:color w:val="000000"/>
        </w:rPr>
        <w:t xml:space="preserve"> Q2 202</w:t>
      </w:r>
      <w:r w:rsidR="00187CF4">
        <w:rPr>
          <w:rFonts w:ascii="Calibri" w:hAnsi="Calibri" w:cs="Calibri"/>
          <w:color w:val="000000"/>
        </w:rPr>
        <w:t>2</w:t>
      </w:r>
      <w:r>
        <w:rPr>
          <w:rFonts w:ascii="Calibri" w:hAnsi="Calibri" w:cs="Calibri"/>
          <w:color w:val="000000"/>
        </w:rPr>
        <w:t xml:space="preserve"> YTD </w:t>
      </w:r>
      <w:r w:rsidR="00187CF4">
        <w:rPr>
          <w:rFonts w:ascii="Calibri" w:hAnsi="Calibri" w:cs="Calibri"/>
          <w:color w:val="000000"/>
        </w:rPr>
        <w:t xml:space="preserve">compared </w:t>
      </w:r>
      <w:r>
        <w:rPr>
          <w:rFonts w:ascii="Calibri" w:hAnsi="Calibri" w:cs="Calibri"/>
          <w:color w:val="000000"/>
        </w:rPr>
        <w:t>to Q2 202</w:t>
      </w:r>
      <w:r w:rsidR="00187CF4">
        <w:rPr>
          <w:rFonts w:ascii="Calibri" w:hAnsi="Calibri" w:cs="Calibri"/>
          <w:color w:val="000000"/>
        </w:rPr>
        <w:t>1</w:t>
      </w:r>
      <w:r>
        <w:rPr>
          <w:rFonts w:ascii="Calibri" w:hAnsi="Calibri" w:cs="Calibri"/>
          <w:color w:val="000000"/>
        </w:rPr>
        <w:t xml:space="preserve"> YTD. The growth in fixed operations is another example of the strength and flexibility of the auto retail model: when the supply of new vehicles falls, consumers spend more to maintain their current vehicles.</w:t>
      </w:r>
      <w:r w:rsidR="00CE4EA1">
        <w:rPr>
          <w:rFonts w:ascii="Calibri" w:hAnsi="Calibri" w:cs="Calibri"/>
          <w:color w:val="000000"/>
        </w:rPr>
        <w:br/>
      </w:r>
    </w:p>
    <w:p w14:paraId="3533CBE6" w14:textId="639B3EEB" w:rsidR="002D7704" w:rsidRDefault="003C3BDE" w:rsidP="005F1A20">
      <w:pPr>
        <w:spacing w:after="120" w:line="240" w:lineRule="auto"/>
        <w:rPr>
          <w:rStyle w:val="A5"/>
          <w:rFonts w:ascii="Calibri" w:hAnsi="Calibri" w:cs="Calibri"/>
          <w:sz w:val="22"/>
          <w:szCs w:val="22"/>
        </w:rPr>
      </w:pPr>
      <w:r>
        <w:rPr>
          <w:rStyle w:val="A5"/>
          <w:rFonts w:ascii="Calibri" w:hAnsi="Calibri" w:cs="Calibri"/>
          <w:sz w:val="22"/>
          <w:szCs w:val="22"/>
        </w:rPr>
        <w:t>A</w:t>
      </w:r>
      <w:r w:rsidR="00701D6A" w:rsidRPr="003151F4">
        <w:rPr>
          <w:rStyle w:val="A5"/>
          <w:rFonts w:ascii="Calibri" w:hAnsi="Calibri" w:cs="Calibri"/>
          <w:sz w:val="22"/>
          <w:szCs w:val="22"/>
        </w:rPr>
        <w:t>uto dealerships have proven to be excellent investments in good times and bad, as evidenced by the stock prices of the public companies that have outperformed the S&amp;P 500 Index for many years.</w:t>
      </w:r>
      <w:r w:rsidR="00701D6A">
        <w:rPr>
          <w:rStyle w:val="A5"/>
          <w:rFonts w:ascii="Calibri" w:hAnsi="Calibri" w:cs="Calibri"/>
          <w:sz w:val="22"/>
          <w:szCs w:val="22"/>
        </w:rPr>
        <w:t xml:space="preserve"> </w:t>
      </w:r>
      <w:r w:rsidR="00396148">
        <w:rPr>
          <w:rStyle w:val="A5"/>
          <w:rFonts w:ascii="Calibri" w:hAnsi="Calibri" w:cs="Calibri"/>
          <w:sz w:val="22"/>
          <w:szCs w:val="22"/>
        </w:rPr>
        <w:t xml:space="preserve">CEOs of the public auto retailers </w:t>
      </w:r>
      <w:r>
        <w:rPr>
          <w:rStyle w:val="A5"/>
          <w:rFonts w:ascii="Calibri" w:hAnsi="Calibri" w:cs="Calibri"/>
          <w:sz w:val="22"/>
          <w:szCs w:val="22"/>
        </w:rPr>
        <w:t xml:space="preserve">have </w:t>
      </w:r>
      <w:r w:rsidR="00D0768A">
        <w:rPr>
          <w:rStyle w:val="A5"/>
          <w:rFonts w:ascii="Calibri" w:hAnsi="Calibri" w:cs="Calibri"/>
          <w:sz w:val="22"/>
          <w:szCs w:val="22"/>
        </w:rPr>
        <w:t>recently stated</w:t>
      </w:r>
      <w:r>
        <w:rPr>
          <w:rStyle w:val="A5"/>
          <w:rFonts w:ascii="Calibri" w:hAnsi="Calibri" w:cs="Calibri"/>
          <w:sz w:val="22"/>
          <w:szCs w:val="22"/>
        </w:rPr>
        <w:t xml:space="preserve"> their intention to continue with acquisitions through the remainder of 2022. Asbury CEO David Hult shared on a recent investor call that they are “looking for strategically aligned opportunities for disciplined growth.” Asbury, Lithia</w:t>
      </w:r>
      <w:r w:rsidR="00F118C6">
        <w:rPr>
          <w:rStyle w:val="A5"/>
          <w:rFonts w:ascii="Calibri" w:hAnsi="Calibri" w:cs="Calibri"/>
          <w:sz w:val="22"/>
          <w:szCs w:val="22"/>
        </w:rPr>
        <w:t>,</w:t>
      </w:r>
      <w:r>
        <w:rPr>
          <w:rStyle w:val="A5"/>
          <w:rFonts w:ascii="Calibri" w:hAnsi="Calibri" w:cs="Calibri"/>
          <w:sz w:val="22"/>
          <w:szCs w:val="22"/>
        </w:rPr>
        <w:t xml:space="preserve"> and Sonic have </w:t>
      </w:r>
      <w:r w:rsidR="00F251EE">
        <w:rPr>
          <w:rStyle w:val="A5"/>
          <w:rFonts w:ascii="Calibri" w:hAnsi="Calibri" w:cs="Calibri"/>
          <w:sz w:val="22"/>
          <w:szCs w:val="22"/>
        </w:rPr>
        <w:t xml:space="preserve">all </w:t>
      </w:r>
      <w:r>
        <w:rPr>
          <w:rStyle w:val="A5"/>
          <w:rFonts w:ascii="Calibri" w:hAnsi="Calibri" w:cs="Calibri"/>
          <w:sz w:val="22"/>
          <w:szCs w:val="22"/>
        </w:rPr>
        <w:t xml:space="preserve">posted big revenue goals for 2025, </w:t>
      </w:r>
      <w:r w:rsidR="00F251EE">
        <w:rPr>
          <w:rStyle w:val="A5"/>
          <w:rFonts w:ascii="Calibri" w:hAnsi="Calibri" w:cs="Calibri"/>
          <w:sz w:val="22"/>
          <w:szCs w:val="22"/>
        </w:rPr>
        <w:t xml:space="preserve">and they will need to </w:t>
      </w:r>
      <w:r w:rsidR="00F118C6">
        <w:rPr>
          <w:rStyle w:val="A5"/>
          <w:rFonts w:ascii="Calibri" w:hAnsi="Calibri" w:cs="Calibri"/>
          <w:sz w:val="22"/>
          <w:szCs w:val="22"/>
        </w:rPr>
        <w:t>consistently add</w:t>
      </w:r>
      <w:r>
        <w:rPr>
          <w:rStyle w:val="A5"/>
          <w:rFonts w:ascii="Calibri" w:hAnsi="Calibri" w:cs="Calibri"/>
          <w:sz w:val="22"/>
          <w:szCs w:val="22"/>
        </w:rPr>
        <w:t xml:space="preserve"> stores to hit th</w:t>
      </w:r>
      <w:r w:rsidR="00F251EE">
        <w:rPr>
          <w:rStyle w:val="A5"/>
          <w:rFonts w:ascii="Calibri" w:hAnsi="Calibri" w:cs="Calibri"/>
          <w:sz w:val="22"/>
          <w:szCs w:val="22"/>
        </w:rPr>
        <w:t>eir</w:t>
      </w:r>
      <w:r>
        <w:rPr>
          <w:rStyle w:val="A5"/>
          <w:rFonts w:ascii="Calibri" w:hAnsi="Calibri" w:cs="Calibri"/>
          <w:sz w:val="22"/>
          <w:szCs w:val="22"/>
        </w:rPr>
        <w:t xml:space="preserve"> targets.</w:t>
      </w:r>
    </w:p>
    <w:p w14:paraId="56A2F042" w14:textId="33767072" w:rsidR="0012558F" w:rsidRDefault="00777F47" w:rsidP="005F1A20">
      <w:pPr>
        <w:spacing w:after="120" w:line="240" w:lineRule="auto"/>
      </w:pPr>
      <w:r>
        <w:t>So far</w:t>
      </w:r>
      <w:r w:rsidR="008E6E0A">
        <w:t>,</w:t>
      </w:r>
      <w:r>
        <w:t xml:space="preserve"> in 2022, </w:t>
      </w:r>
      <w:r w:rsidR="0012558F">
        <w:t xml:space="preserve">Haig Partners has been involved in the </w:t>
      </w:r>
      <w:hyperlink r:id="rId12" w:history="1">
        <w:r w:rsidR="0012558F" w:rsidRPr="00CC4D82">
          <w:rPr>
            <w:rStyle w:val="Hyperlink"/>
          </w:rPr>
          <w:t>purchase or sale of 3</w:t>
        </w:r>
        <w:r w:rsidR="00035119" w:rsidRPr="00CC4D82">
          <w:rPr>
            <w:rStyle w:val="Hyperlink"/>
          </w:rPr>
          <w:t>1</w:t>
        </w:r>
        <w:r w:rsidR="0012558F" w:rsidRPr="00CC4D82">
          <w:rPr>
            <w:rStyle w:val="Hyperlink"/>
          </w:rPr>
          <w:t xml:space="preserve"> dealerships</w:t>
        </w:r>
      </w:hyperlink>
      <w:r w:rsidR="0012558F">
        <w:t xml:space="preserve"> </w:t>
      </w:r>
      <w:r w:rsidR="008E6E0A">
        <w:t>nationwide</w:t>
      </w:r>
      <w:r w:rsidR="0012558F">
        <w:t>. If you are interested in learning what your business is worth</w:t>
      </w:r>
      <w:r w:rsidR="005F7D51">
        <w:t>,</w:t>
      </w:r>
      <w:r w:rsidR="0012558F">
        <w:t xml:space="preserve"> are seeking acquisitions,</w:t>
      </w:r>
      <w:r w:rsidR="005F7D51">
        <w:t xml:space="preserve"> or would like to learn more about selling a majority or minority stake in your business,</w:t>
      </w:r>
      <w:r w:rsidR="0012558F">
        <w:t xml:space="preserve"> please contact </w:t>
      </w:r>
      <w:hyperlink r:id="rId13" w:history="1">
        <w:r w:rsidR="0012558F" w:rsidRPr="0012558F">
          <w:rPr>
            <w:rStyle w:val="Hyperlink"/>
          </w:rPr>
          <w:t>Alan Haig</w:t>
        </w:r>
      </w:hyperlink>
      <w:r w:rsidR="00556189">
        <w:t xml:space="preserve"> at </w:t>
      </w:r>
      <w:hyperlink r:id="rId14" w:history="1">
        <w:r w:rsidR="00556189" w:rsidRPr="00FC7C25">
          <w:rPr>
            <w:rStyle w:val="Hyperlink"/>
          </w:rPr>
          <w:t>alan@haigpartners.com</w:t>
        </w:r>
      </w:hyperlink>
      <w:r w:rsidR="00556189">
        <w:t xml:space="preserve"> or (954) 646-8921 </w:t>
      </w:r>
      <w:r w:rsidR="0012558F">
        <w:t xml:space="preserve">or any </w:t>
      </w:r>
      <w:hyperlink r:id="rId15" w:history="1">
        <w:r w:rsidR="0012558F" w:rsidRPr="00077CDB">
          <w:rPr>
            <w:rStyle w:val="Hyperlink"/>
          </w:rPr>
          <w:t>member of the team</w:t>
        </w:r>
      </w:hyperlink>
      <w:r w:rsidR="0012558F">
        <w:t xml:space="preserve"> at Haig Partners to have a confidential conversation. </w:t>
      </w:r>
    </w:p>
    <w:p w14:paraId="7F5C6192" w14:textId="42FA4A28" w:rsidR="002D7704" w:rsidRPr="002D7704" w:rsidRDefault="002D7704" w:rsidP="005F1A20">
      <w:pPr>
        <w:spacing w:before="240" w:after="0" w:line="240" w:lineRule="auto"/>
        <w:rPr>
          <w:b/>
          <w:bCs/>
        </w:rPr>
      </w:pPr>
      <w:r w:rsidRPr="002D7704">
        <w:rPr>
          <w:b/>
          <w:bCs/>
        </w:rPr>
        <w:t>About The Haig Report</w:t>
      </w:r>
    </w:p>
    <w:p w14:paraId="7351B572" w14:textId="56DC7BEF" w:rsidR="00894A30" w:rsidRDefault="00F57583" w:rsidP="005F1A20">
      <w:pPr>
        <w:spacing w:line="240" w:lineRule="auto"/>
      </w:pPr>
      <w:r w:rsidRPr="00F57583">
        <w:t xml:space="preserve">The </w:t>
      </w:r>
      <w:hyperlink r:id="rId16" w:history="1">
        <w:r w:rsidRPr="00920DB3">
          <w:rPr>
            <w:rStyle w:val="Hyperlink"/>
          </w:rPr>
          <w:t>Haig Report</w:t>
        </w:r>
      </w:hyperlink>
      <w:r w:rsidR="005D3073">
        <w:t xml:space="preserve">, </w:t>
      </w:r>
      <w:r w:rsidR="00886705">
        <w:t xml:space="preserve">the </w:t>
      </w:r>
      <w:r w:rsidR="00886705" w:rsidRPr="00CD7220">
        <w:rPr>
          <w:rFonts w:cstheme="minorHAnsi"/>
          <w:shd w:val="clear" w:color="auto" w:fill="FFFFFF"/>
        </w:rPr>
        <w:t xml:space="preserve">leading industry </w:t>
      </w:r>
      <w:r w:rsidR="00886705">
        <w:rPr>
          <w:rFonts w:cstheme="minorHAnsi"/>
          <w:shd w:val="clear" w:color="auto" w:fill="FFFFFF"/>
        </w:rPr>
        <w:t xml:space="preserve">quarterly </w:t>
      </w:r>
      <w:r w:rsidR="00886705" w:rsidRPr="00CD7220">
        <w:rPr>
          <w:rFonts w:cstheme="minorHAnsi"/>
          <w:shd w:val="clear" w:color="auto" w:fill="FFFFFF"/>
        </w:rPr>
        <w:t xml:space="preserve">report that tracks trends in auto retail and </w:t>
      </w:r>
      <w:r w:rsidR="00886705">
        <w:rPr>
          <w:rFonts w:cstheme="minorHAnsi"/>
          <w:shd w:val="clear" w:color="auto" w:fill="FFFFFF"/>
        </w:rPr>
        <w:t>their impact on</w:t>
      </w:r>
      <w:r w:rsidR="00886705" w:rsidRPr="00CD7220">
        <w:rPr>
          <w:rFonts w:cstheme="minorHAnsi"/>
          <w:shd w:val="clear" w:color="auto" w:fill="FFFFFF"/>
        </w:rPr>
        <w:t xml:space="preserve"> dealership values</w:t>
      </w:r>
      <w:r w:rsidR="005D3073">
        <w:t>,</w:t>
      </w:r>
      <w:r w:rsidRPr="00F57583">
        <w:t xml:space="preserve"> includes data and analysis on the performance of auto dealerships, </w:t>
      </w:r>
      <w:r w:rsidR="005D3073">
        <w:t>discusses</w:t>
      </w:r>
      <w:r w:rsidRPr="00F57583">
        <w:t xml:space="preserve"> noteworthy events </w:t>
      </w:r>
      <w:r w:rsidR="000A1015">
        <w:t xml:space="preserve">impacting the </w:t>
      </w:r>
      <w:r w:rsidR="00886705">
        <w:t xml:space="preserve">automotive retail </w:t>
      </w:r>
      <w:r w:rsidR="000A1015">
        <w:t>industry</w:t>
      </w:r>
      <w:r w:rsidRPr="00F57583">
        <w:t xml:space="preserve">, </w:t>
      </w:r>
      <w:r w:rsidR="005D3073">
        <w:t>identifies</w:t>
      </w:r>
      <w:r w:rsidRPr="00F57583">
        <w:t xml:space="preserve"> trends in the M&amp;A market for dealerships, </w:t>
      </w:r>
      <w:r w:rsidR="005D3073">
        <w:t>provides</w:t>
      </w:r>
      <w:r w:rsidRPr="00F57583">
        <w:t xml:space="preserve"> guidance on estimated value ranges for different franchises</w:t>
      </w:r>
      <w:r w:rsidR="007A4B97">
        <w:t>,</w:t>
      </w:r>
      <w:r w:rsidRPr="00F57583">
        <w:t xml:space="preserve"> and </w:t>
      </w:r>
      <w:r w:rsidR="005D3073">
        <w:t>shares</w:t>
      </w:r>
      <w:r w:rsidRPr="00F57583">
        <w:t xml:space="preserve"> an outlook for the </w:t>
      </w:r>
      <w:r w:rsidR="00886705">
        <w:t>automotive retail buy-sell</w:t>
      </w:r>
      <w:r w:rsidRPr="00F57583">
        <w:t xml:space="preserve"> market</w:t>
      </w:r>
      <w:r w:rsidR="004C4E74">
        <w:t xml:space="preserve">. </w:t>
      </w:r>
      <w:r w:rsidRPr="00F57583">
        <w:t xml:space="preserve">The Haig Report is based on data gathered from </w:t>
      </w:r>
      <w:r w:rsidR="00315011">
        <w:t>reputable</w:t>
      </w:r>
      <w:r w:rsidRPr="00F57583">
        <w:t xml:space="preserve"> public sources</w:t>
      </w:r>
      <w:r w:rsidR="00DE7692">
        <w:t xml:space="preserve"> and</w:t>
      </w:r>
      <w:r w:rsidRPr="00F57583">
        <w:t xml:space="preserve"> interviews with leading dealer groups</w:t>
      </w:r>
      <w:r w:rsidR="005D3073">
        <w:t xml:space="preserve"> and dealers, </w:t>
      </w:r>
      <w:r w:rsidRPr="00F57583">
        <w:t>bankers, lawyers</w:t>
      </w:r>
      <w:r w:rsidR="00315011">
        <w:t>,</w:t>
      </w:r>
      <w:r w:rsidRPr="00F57583">
        <w:t xml:space="preserve"> and accountants who specialize in auto retail.</w:t>
      </w:r>
    </w:p>
    <w:p w14:paraId="638B6C65" w14:textId="77777777" w:rsidR="00250B8D" w:rsidRDefault="00250B8D" w:rsidP="005F1A20">
      <w:pPr>
        <w:spacing w:line="240" w:lineRule="auto"/>
      </w:pPr>
    </w:p>
    <w:p w14:paraId="53A72D69" w14:textId="526C2412" w:rsidR="002D7704" w:rsidRDefault="002D7704" w:rsidP="005F1A20">
      <w:pPr>
        <w:spacing w:before="240" w:after="0" w:line="240" w:lineRule="auto"/>
        <w:rPr>
          <w:b/>
          <w:bCs/>
        </w:rPr>
      </w:pPr>
      <w:r>
        <w:rPr>
          <w:b/>
          <w:bCs/>
        </w:rPr>
        <w:t>About Haig Partners</w:t>
      </w:r>
    </w:p>
    <w:p w14:paraId="1F3A46F6" w14:textId="09550A48" w:rsidR="00A36D37" w:rsidRPr="001F774D" w:rsidRDefault="00A36D37" w:rsidP="005F1A20">
      <w:pPr>
        <w:spacing w:line="240" w:lineRule="auto"/>
      </w:pPr>
      <w:r w:rsidRPr="001F774D">
        <w:t>Haig Partners LLC </w:t>
      </w:r>
      <w:r>
        <w:t>helps dealers maximize the value of their businesses</w:t>
      </w:r>
      <w:r w:rsidR="0012558F">
        <w:t xml:space="preserve"> when they are ready to sell</w:t>
      </w:r>
      <w:r w:rsidRPr="001F774D">
        <w:t xml:space="preserve">. </w:t>
      </w:r>
      <w:r>
        <w:t>They have unmatched experience with executives from leading retail dealer groups and financial institutions</w:t>
      </w:r>
      <w:r w:rsidR="00F118C6">
        <w:t>. They have</w:t>
      </w:r>
      <w:r>
        <w:t xml:space="preserve"> </w:t>
      </w:r>
      <w:r w:rsidRPr="001F774D">
        <w:t>advised on the purchase or sale of more than 5</w:t>
      </w:r>
      <w:r w:rsidR="0012558F">
        <w:t xml:space="preserve">75 </w:t>
      </w:r>
      <w:r w:rsidRPr="001F774D">
        <w:t xml:space="preserve">dealerships </w:t>
      </w:r>
      <w:r w:rsidR="00654CBF">
        <w:t>for over</w:t>
      </w:r>
      <w:r w:rsidR="00654CBF" w:rsidRPr="001F774D">
        <w:t xml:space="preserve"> </w:t>
      </w:r>
      <w:r w:rsidRPr="001F774D">
        <w:t>$</w:t>
      </w:r>
      <w:r w:rsidR="0012558F">
        <w:t>9</w:t>
      </w:r>
      <w:r w:rsidRPr="001F774D">
        <w:t> billion</w:t>
      </w:r>
      <w:r w:rsidR="00250B8D">
        <w:t>, including 24 on the Top 150 Dealership Groups list published by Automotive News</w:t>
      </w:r>
      <w:r w:rsidRPr="001F774D">
        <w:t xml:space="preserve">. </w:t>
      </w:r>
      <w:r>
        <w:t>The team at Haig Partners leverages expertise and relationships to lead clients through a confidential and customizable sales process, yielding the best price successfully. They</w:t>
      </w:r>
      <w:r w:rsidRPr="001F774D">
        <w:t xml:space="preserve"> author the </w:t>
      </w:r>
      <w:hyperlink r:id="rId17" w:history="1">
        <w:r w:rsidRPr="001F774D">
          <w:rPr>
            <w:rStyle w:val="Hyperlink"/>
          </w:rPr>
          <w:t>Haig Report</w:t>
        </w:r>
      </w:hyperlink>
      <w:r w:rsidRPr="001F774D">
        <w:t>, the leading industry quarterly report that tracks trends in auto retail and their impact on dealership values, and are co-author of NADA’s Guide, “Buying and Selling a Dealership.” For more information, visit </w:t>
      </w:r>
      <w:hyperlink r:id="rId18" w:history="1">
        <w:r w:rsidRPr="001F774D">
          <w:rPr>
            <w:rStyle w:val="Hyperlink"/>
          </w:rPr>
          <w:t>www.haigpartners.com</w:t>
        </w:r>
      </w:hyperlink>
      <w:r w:rsidRPr="001F774D">
        <w:t>.</w:t>
      </w:r>
    </w:p>
    <w:p w14:paraId="14F644FF" w14:textId="6650616E" w:rsidR="00A36D37" w:rsidRDefault="00887B17" w:rsidP="005F1A20">
      <w:pPr>
        <w:spacing w:after="0" w:line="240" w:lineRule="auto"/>
      </w:pPr>
      <w:r>
        <w:rPr>
          <w:b/>
          <w:bCs/>
        </w:rPr>
        <w:t>Media</w:t>
      </w:r>
      <w:r w:rsidR="004F6E02" w:rsidRPr="0000754E">
        <w:rPr>
          <w:b/>
          <w:bCs/>
        </w:rPr>
        <w:t xml:space="preserve"> Contact:</w:t>
      </w:r>
      <w:r w:rsidR="004F6E02" w:rsidRPr="0000754E">
        <w:rPr>
          <w:b/>
          <w:bCs/>
        </w:rPr>
        <w:br/>
      </w:r>
      <w:r w:rsidR="004F6E02">
        <w:t>Aimee Allen</w:t>
      </w:r>
    </w:p>
    <w:p w14:paraId="58F48E36" w14:textId="34B6B87D" w:rsidR="006B18F9" w:rsidRDefault="00A36D37" w:rsidP="005F1A20">
      <w:pPr>
        <w:spacing w:after="0" w:line="240" w:lineRule="auto"/>
        <w:rPr>
          <w:rStyle w:val="Hyperlink"/>
        </w:rPr>
      </w:pPr>
      <w:r>
        <w:t>Director of Marketing and Business Development</w:t>
      </w:r>
      <w:r w:rsidR="007A4B97">
        <w:br/>
      </w:r>
      <w:r w:rsidR="00943408">
        <w:t>Haig Partners</w:t>
      </w:r>
      <w:r w:rsidR="00943408">
        <w:br/>
      </w:r>
      <w:hyperlink r:id="rId19" w:history="1">
        <w:r w:rsidR="00EA1F7C" w:rsidRPr="007F0458">
          <w:rPr>
            <w:rStyle w:val="Hyperlink"/>
          </w:rPr>
          <w:t>aimee@haigpartners.com</w:t>
        </w:r>
      </w:hyperlink>
    </w:p>
    <w:p w14:paraId="56CB63D7" w14:textId="3C6F9C7D" w:rsidR="00887B17" w:rsidRPr="00887B17" w:rsidRDefault="00887B17" w:rsidP="005F1A20">
      <w:pPr>
        <w:spacing w:after="0" w:line="240" w:lineRule="auto"/>
      </w:pPr>
      <w:r w:rsidRPr="00887B17">
        <w:rPr>
          <w:rStyle w:val="Hyperlink"/>
          <w:color w:val="auto"/>
          <w:u w:val="none"/>
        </w:rPr>
        <w:t>(603) 933-2194</w:t>
      </w:r>
    </w:p>
    <w:sectPr w:rsidR="00887B17" w:rsidRPr="00887B17" w:rsidSect="00D16648">
      <w:headerReference w:type="default" r:id="rId20"/>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647F" w14:textId="77777777" w:rsidR="00CF6CF9" w:rsidRDefault="00CF6CF9" w:rsidP="003213E8">
      <w:pPr>
        <w:spacing w:after="0" w:line="240" w:lineRule="auto"/>
      </w:pPr>
      <w:r>
        <w:separator/>
      </w:r>
    </w:p>
  </w:endnote>
  <w:endnote w:type="continuationSeparator" w:id="0">
    <w:p w14:paraId="4BDCB2E0" w14:textId="77777777" w:rsidR="00CF6CF9" w:rsidRDefault="00CF6CF9" w:rsidP="0032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Proxima Nova">
    <w:altName w:val="Proxima Nov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5823" w14:textId="77777777" w:rsidR="00CF6CF9" w:rsidRDefault="00CF6CF9" w:rsidP="003213E8">
      <w:pPr>
        <w:spacing w:after="0" w:line="240" w:lineRule="auto"/>
      </w:pPr>
      <w:r>
        <w:separator/>
      </w:r>
    </w:p>
  </w:footnote>
  <w:footnote w:type="continuationSeparator" w:id="0">
    <w:p w14:paraId="149050F3" w14:textId="77777777" w:rsidR="00CF6CF9" w:rsidRDefault="00CF6CF9" w:rsidP="0032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D230" w14:textId="068B2778" w:rsidR="003213E8" w:rsidRDefault="003213E8" w:rsidP="00861CC3">
    <w:pPr>
      <w:pStyle w:val="Header"/>
    </w:pPr>
    <w:r>
      <w:rPr>
        <w:noProof/>
      </w:rPr>
      <w:drawing>
        <wp:anchor distT="0" distB="0" distL="114300" distR="114300" simplePos="0" relativeHeight="251658240" behindDoc="0" locked="0" layoutInCell="1" allowOverlap="1" wp14:anchorId="5C7BEB79" wp14:editId="118C3DA8">
          <wp:simplePos x="0" y="0"/>
          <wp:positionH relativeFrom="column">
            <wp:posOffset>1485900</wp:posOffset>
          </wp:positionH>
          <wp:positionV relativeFrom="paragraph">
            <wp:posOffset>-238125</wp:posOffset>
          </wp:positionV>
          <wp:extent cx="2600325" cy="111633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600325" cy="1116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DE0"/>
    <w:multiLevelType w:val="hybridMultilevel"/>
    <w:tmpl w:val="9E1C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B34A4"/>
    <w:multiLevelType w:val="multilevel"/>
    <w:tmpl w:val="7D14C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074337">
    <w:abstractNumId w:val="1"/>
  </w:num>
  <w:num w:numId="2" w16cid:durableId="203561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zYxtDQ2N7A0NDdS0lEKTi0uzszPAykwMqkFADz9AmQtAAAA"/>
  </w:docVars>
  <w:rsids>
    <w:rsidRoot w:val="00C1632C"/>
    <w:rsid w:val="00000662"/>
    <w:rsid w:val="000019EB"/>
    <w:rsid w:val="00004EA7"/>
    <w:rsid w:val="0000754E"/>
    <w:rsid w:val="00013255"/>
    <w:rsid w:val="00014912"/>
    <w:rsid w:val="00017442"/>
    <w:rsid w:val="000206DB"/>
    <w:rsid w:val="0002269B"/>
    <w:rsid w:val="0002368C"/>
    <w:rsid w:val="00035119"/>
    <w:rsid w:val="00035AC2"/>
    <w:rsid w:val="00053A05"/>
    <w:rsid w:val="000622EA"/>
    <w:rsid w:val="000626AC"/>
    <w:rsid w:val="00062D58"/>
    <w:rsid w:val="0006610B"/>
    <w:rsid w:val="00066B72"/>
    <w:rsid w:val="0007226E"/>
    <w:rsid w:val="00074542"/>
    <w:rsid w:val="00075679"/>
    <w:rsid w:val="00077CDB"/>
    <w:rsid w:val="000815FF"/>
    <w:rsid w:val="00092175"/>
    <w:rsid w:val="000946AE"/>
    <w:rsid w:val="000958A7"/>
    <w:rsid w:val="000968AC"/>
    <w:rsid w:val="00096E2C"/>
    <w:rsid w:val="000A02DE"/>
    <w:rsid w:val="000A1015"/>
    <w:rsid w:val="000A516E"/>
    <w:rsid w:val="000B6D18"/>
    <w:rsid w:val="000B7833"/>
    <w:rsid w:val="000D0D82"/>
    <w:rsid w:val="000E44B9"/>
    <w:rsid w:val="000E4ED7"/>
    <w:rsid w:val="000F098E"/>
    <w:rsid w:val="000F3100"/>
    <w:rsid w:val="000F460A"/>
    <w:rsid w:val="000F5502"/>
    <w:rsid w:val="00105F80"/>
    <w:rsid w:val="001124AB"/>
    <w:rsid w:val="00112532"/>
    <w:rsid w:val="001172E9"/>
    <w:rsid w:val="00121B24"/>
    <w:rsid w:val="0012558F"/>
    <w:rsid w:val="00127DB8"/>
    <w:rsid w:val="001307A2"/>
    <w:rsid w:val="00133F26"/>
    <w:rsid w:val="001358AC"/>
    <w:rsid w:val="0013638D"/>
    <w:rsid w:val="0014054A"/>
    <w:rsid w:val="00141EDB"/>
    <w:rsid w:val="00142203"/>
    <w:rsid w:val="00143CCD"/>
    <w:rsid w:val="00143FF3"/>
    <w:rsid w:val="00145022"/>
    <w:rsid w:val="00152CE7"/>
    <w:rsid w:val="0015678A"/>
    <w:rsid w:val="00161E34"/>
    <w:rsid w:val="00162F8C"/>
    <w:rsid w:val="00167A3C"/>
    <w:rsid w:val="00170E4B"/>
    <w:rsid w:val="00172EAE"/>
    <w:rsid w:val="00176BCF"/>
    <w:rsid w:val="00177955"/>
    <w:rsid w:val="0018459A"/>
    <w:rsid w:val="00187CF4"/>
    <w:rsid w:val="00190876"/>
    <w:rsid w:val="001910D1"/>
    <w:rsid w:val="00191549"/>
    <w:rsid w:val="001935FB"/>
    <w:rsid w:val="0019613F"/>
    <w:rsid w:val="001A6D53"/>
    <w:rsid w:val="001B6917"/>
    <w:rsid w:val="001B796E"/>
    <w:rsid w:val="001C035A"/>
    <w:rsid w:val="001C4370"/>
    <w:rsid w:val="001C5437"/>
    <w:rsid w:val="001D48D2"/>
    <w:rsid w:val="001E010D"/>
    <w:rsid w:val="001E0995"/>
    <w:rsid w:val="001E3FF9"/>
    <w:rsid w:val="001F0495"/>
    <w:rsid w:val="001F23BD"/>
    <w:rsid w:val="001F4C76"/>
    <w:rsid w:val="001F5599"/>
    <w:rsid w:val="00205129"/>
    <w:rsid w:val="0020531B"/>
    <w:rsid w:val="0020592B"/>
    <w:rsid w:val="00205D57"/>
    <w:rsid w:val="0020702A"/>
    <w:rsid w:val="00210204"/>
    <w:rsid w:val="00211983"/>
    <w:rsid w:val="00211F83"/>
    <w:rsid w:val="00214CB3"/>
    <w:rsid w:val="00231018"/>
    <w:rsid w:val="0023264F"/>
    <w:rsid w:val="00236C7F"/>
    <w:rsid w:val="0025092F"/>
    <w:rsid w:val="00250B8D"/>
    <w:rsid w:val="00256A60"/>
    <w:rsid w:val="00261175"/>
    <w:rsid w:val="00262D6E"/>
    <w:rsid w:val="00267843"/>
    <w:rsid w:val="00273E10"/>
    <w:rsid w:val="00282C3A"/>
    <w:rsid w:val="0028587D"/>
    <w:rsid w:val="00285AC7"/>
    <w:rsid w:val="00291981"/>
    <w:rsid w:val="002924D8"/>
    <w:rsid w:val="00294DA5"/>
    <w:rsid w:val="002957E9"/>
    <w:rsid w:val="002965EB"/>
    <w:rsid w:val="002A3899"/>
    <w:rsid w:val="002A5BF1"/>
    <w:rsid w:val="002B792C"/>
    <w:rsid w:val="002C6CE0"/>
    <w:rsid w:val="002D2FA1"/>
    <w:rsid w:val="002D7704"/>
    <w:rsid w:val="002E4706"/>
    <w:rsid w:val="002E66D9"/>
    <w:rsid w:val="002E6F0B"/>
    <w:rsid w:val="002F73A0"/>
    <w:rsid w:val="002F7A54"/>
    <w:rsid w:val="00301839"/>
    <w:rsid w:val="00301CC9"/>
    <w:rsid w:val="003051D6"/>
    <w:rsid w:val="00312C08"/>
    <w:rsid w:val="003149F0"/>
    <w:rsid w:val="00315011"/>
    <w:rsid w:val="00320056"/>
    <w:rsid w:val="003213E8"/>
    <w:rsid w:val="00321BF9"/>
    <w:rsid w:val="003256C8"/>
    <w:rsid w:val="003341AD"/>
    <w:rsid w:val="00335C51"/>
    <w:rsid w:val="00337A55"/>
    <w:rsid w:val="0035613F"/>
    <w:rsid w:val="0035619E"/>
    <w:rsid w:val="00357652"/>
    <w:rsid w:val="003620C3"/>
    <w:rsid w:val="00363F74"/>
    <w:rsid w:val="00371392"/>
    <w:rsid w:val="00373FAE"/>
    <w:rsid w:val="00383C3D"/>
    <w:rsid w:val="00385FB8"/>
    <w:rsid w:val="00390B45"/>
    <w:rsid w:val="00391988"/>
    <w:rsid w:val="00396148"/>
    <w:rsid w:val="003A0C9B"/>
    <w:rsid w:val="003B5864"/>
    <w:rsid w:val="003B696D"/>
    <w:rsid w:val="003B6FB6"/>
    <w:rsid w:val="003C0986"/>
    <w:rsid w:val="003C290C"/>
    <w:rsid w:val="003C3BDE"/>
    <w:rsid w:val="003C705A"/>
    <w:rsid w:val="003D0229"/>
    <w:rsid w:val="003D3E64"/>
    <w:rsid w:val="003D4D43"/>
    <w:rsid w:val="003D6253"/>
    <w:rsid w:val="003D6893"/>
    <w:rsid w:val="003E2AE1"/>
    <w:rsid w:val="003E314B"/>
    <w:rsid w:val="003E48A5"/>
    <w:rsid w:val="003E75C8"/>
    <w:rsid w:val="003F0F03"/>
    <w:rsid w:val="003F2428"/>
    <w:rsid w:val="003F7083"/>
    <w:rsid w:val="003F71D6"/>
    <w:rsid w:val="004030F7"/>
    <w:rsid w:val="004037EA"/>
    <w:rsid w:val="00403F44"/>
    <w:rsid w:val="004069FD"/>
    <w:rsid w:val="00410B2D"/>
    <w:rsid w:val="004341E2"/>
    <w:rsid w:val="004403DB"/>
    <w:rsid w:val="004425A7"/>
    <w:rsid w:val="00452767"/>
    <w:rsid w:val="00456C79"/>
    <w:rsid w:val="00457AB5"/>
    <w:rsid w:val="00464F1E"/>
    <w:rsid w:val="00465DA9"/>
    <w:rsid w:val="00470FC7"/>
    <w:rsid w:val="00483325"/>
    <w:rsid w:val="00483E83"/>
    <w:rsid w:val="0048720B"/>
    <w:rsid w:val="004876EA"/>
    <w:rsid w:val="00487D2E"/>
    <w:rsid w:val="00491313"/>
    <w:rsid w:val="0049299D"/>
    <w:rsid w:val="004937CD"/>
    <w:rsid w:val="0049451B"/>
    <w:rsid w:val="004946C9"/>
    <w:rsid w:val="004B3792"/>
    <w:rsid w:val="004C03C9"/>
    <w:rsid w:val="004C4E74"/>
    <w:rsid w:val="004D3B31"/>
    <w:rsid w:val="004D6C0E"/>
    <w:rsid w:val="004E364E"/>
    <w:rsid w:val="004E469F"/>
    <w:rsid w:val="004E6C56"/>
    <w:rsid w:val="004F6E02"/>
    <w:rsid w:val="0050036A"/>
    <w:rsid w:val="005035B2"/>
    <w:rsid w:val="00514B0F"/>
    <w:rsid w:val="00515006"/>
    <w:rsid w:val="005159D2"/>
    <w:rsid w:val="00521E16"/>
    <w:rsid w:val="00523321"/>
    <w:rsid w:val="00523723"/>
    <w:rsid w:val="00524F64"/>
    <w:rsid w:val="00535F32"/>
    <w:rsid w:val="005439A0"/>
    <w:rsid w:val="00544FF6"/>
    <w:rsid w:val="0055113F"/>
    <w:rsid w:val="00553875"/>
    <w:rsid w:val="00556189"/>
    <w:rsid w:val="0056276A"/>
    <w:rsid w:val="00564C71"/>
    <w:rsid w:val="00564C9E"/>
    <w:rsid w:val="00564E81"/>
    <w:rsid w:val="00567EB9"/>
    <w:rsid w:val="005708FB"/>
    <w:rsid w:val="00596895"/>
    <w:rsid w:val="00597262"/>
    <w:rsid w:val="005979CA"/>
    <w:rsid w:val="005A1356"/>
    <w:rsid w:val="005A456B"/>
    <w:rsid w:val="005A75C2"/>
    <w:rsid w:val="005B1405"/>
    <w:rsid w:val="005B74C8"/>
    <w:rsid w:val="005C10B1"/>
    <w:rsid w:val="005C11AD"/>
    <w:rsid w:val="005C6984"/>
    <w:rsid w:val="005D3073"/>
    <w:rsid w:val="005D40C7"/>
    <w:rsid w:val="005D42E8"/>
    <w:rsid w:val="005D5E61"/>
    <w:rsid w:val="005D7B8A"/>
    <w:rsid w:val="005E10B6"/>
    <w:rsid w:val="005E1B0B"/>
    <w:rsid w:val="005E2E39"/>
    <w:rsid w:val="005E513D"/>
    <w:rsid w:val="005E54D7"/>
    <w:rsid w:val="005E5C8A"/>
    <w:rsid w:val="005E7C05"/>
    <w:rsid w:val="005F1A20"/>
    <w:rsid w:val="005F3A03"/>
    <w:rsid w:val="005F4A4F"/>
    <w:rsid w:val="005F7D51"/>
    <w:rsid w:val="005F7F93"/>
    <w:rsid w:val="00602CF7"/>
    <w:rsid w:val="00605590"/>
    <w:rsid w:val="00626EF1"/>
    <w:rsid w:val="0063431A"/>
    <w:rsid w:val="00634A8C"/>
    <w:rsid w:val="006440CF"/>
    <w:rsid w:val="00646D7D"/>
    <w:rsid w:val="0065199B"/>
    <w:rsid w:val="006533D9"/>
    <w:rsid w:val="00653D43"/>
    <w:rsid w:val="00654CBF"/>
    <w:rsid w:val="0067105F"/>
    <w:rsid w:val="00673BA0"/>
    <w:rsid w:val="00682C00"/>
    <w:rsid w:val="00683B05"/>
    <w:rsid w:val="006867A4"/>
    <w:rsid w:val="006A5B73"/>
    <w:rsid w:val="006A6F6D"/>
    <w:rsid w:val="006B18F9"/>
    <w:rsid w:val="006B659D"/>
    <w:rsid w:val="006B7750"/>
    <w:rsid w:val="006C07BE"/>
    <w:rsid w:val="006C3181"/>
    <w:rsid w:val="006C52F0"/>
    <w:rsid w:val="006D5B11"/>
    <w:rsid w:val="006D74DA"/>
    <w:rsid w:val="006E218B"/>
    <w:rsid w:val="006E41AE"/>
    <w:rsid w:val="006E41F6"/>
    <w:rsid w:val="006E6006"/>
    <w:rsid w:val="006F6ADF"/>
    <w:rsid w:val="006F7D45"/>
    <w:rsid w:val="00701D6A"/>
    <w:rsid w:val="00704EE4"/>
    <w:rsid w:val="007050C3"/>
    <w:rsid w:val="00706D44"/>
    <w:rsid w:val="00710BE9"/>
    <w:rsid w:val="00712BB8"/>
    <w:rsid w:val="007165AB"/>
    <w:rsid w:val="00734472"/>
    <w:rsid w:val="00745BC9"/>
    <w:rsid w:val="00752E48"/>
    <w:rsid w:val="007543C6"/>
    <w:rsid w:val="007574F1"/>
    <w:rsid w:val="00765BB8"/>
    <w:rsid w:val="00767FB5"/>
    <w:rsid w:val="00770A3E"/>
    <w:rsid w:val="00771C03"/>
    <w:rsid w:val="00773597"/>
    <w:rsid w:val="007741CF"/>
    <w:rsid w:val="0077712A"/>
    <w:rsid w:val="00777F47"/>
    <w:rsid w:val="007857B5"/>
    <w:rsid w:val="00790220"/>
    <w:rsid w:val="007A2B46"/>
    <w:rsid w:val="007A4B97"/>
    <w:rsid w:val="007A7ECD"/>
    <w:rsid w:val="007C0BE7"/>
    <w:rsid w:val="007C380C"/>
    <w:rsid w:val="007C7F08"/>
    <w:rsid w:val="007D5DF1"/>
    <w:rsid w:val="007E0186"/>
    <w:rsid w:val="007F6107"/>
    <w:rsid w:val="00800E15"/>
    <w:rsid w:val="00802706"/>
    <w:rsid w:val="0080381A"/>
    <w:rsid w:val="00805CA8"/>
    <w:rsid w:val="008137FA"/>
    <w:rsid w:val="00813EA1"/>
    <w:rsid w:val="0081515E"/>
    <w:rsid w:val="00821588"/>
    <w:rsid w:val="00824759"/>
    <w:rsid w:val="00834444"/>
    <w:rsid w:val="008363F9"/>
    <w:rsid w:val="00841974"/>
    <w:rsid w:val="0084221D"/>
    <w:rsid w:val="0084442A"/>
    <w:rsid w:val="00852745"/>
    <w:rsid w:val="00854EBB"/>
    <w:rsid w:val="00857F8F"/>
    <w:rsid w:val="00860988"/>
    <w:rsid w:val="00861CC3"/>
    <w:rsid w:val="008624C5"/>
    <w:rsid w:val="00864443"/>
    <w:rsid w:val="008671FE"/>
    <w:rsid w:val="00886705"/>
    <w:rsid w:val="008875D0"/>
    <w:rsid w:val="00887B17"/>
    <w:rsid w:val="00894A30"/>
    <w:rsid w:val="008B39FF"/>
    <w:rsid w:val="008B5847"/>
    <w:rsid w:val="008C2D2A"/>
    <w:rsid w:val="008C2D67"/>
    <w:rsid w:val="008C4752"/>
    <w:rsid w:val="008C59B9"/>
    <w:rsid w:val="008D7655"/>
    <w:rsid w:val="008E0250"/>
    <w:rsid w:val="008E5734"/>
    <w:rsid w:val="008E6E0A"/>
    <w:rsid w:val="008E73A4"/>
    <w:rsid w:val="008F162C"/>
    <w:rsid w:val="00903AFA"/>
    <w:rsid w:val="00905A6B"/>
    <w:rsid w:val="0090665B"/>
    <w:rsid w:val="00910346"/>
    <w:rsid w:val="009205D9"/>
    <w:rsid w:val="00920DB3"/>
    <w:rsid w:val="00924E0E"/>
    <w:rsid w:val="009262B9"/>
    <w:rsid w:val="009411FF"/>
    <w:rsid w:val="00943408"/>
    <w:rsid w:val="00953A44"/>
    <w:rsid w:val="009546BE"/>
    <w:rsid w:val="009558FF"/>
    <w:rsid w:val="00957B14"/>
    <w:rsid w:val="00971A41"/>
    <w:rsid w:val="00972412"/>
    <w:rsid w:val="0097250F"/>
    <w:rsid w:val="00976D76"/>
    <w:rsid w:val="009843EB"/>
    <w:rsid w:val="009916C2"/>
    <w:rsid w:val="009A370F"/>
    <w:rsid w:val="009B2CB0"/>
    <w:rsid w:val="009D463A"/>
    <w:rsid w:val="009D52AC"/>
    <w:rsid w:val="009D74B3"/>
    <w:rsid w:val="009F02F4"/>
    <w:rsid w:val="009F0CF8"/>
    <w:rsid w:val="009F247E"/>
    <w:rsid w:val="009F3552"/>
    <w:rsid w:val="009F3F55"/>
    <w:rsid w:val="009F5EA6"/>
    <w:rsid w:val="00A1020C"/>
    <w:rsid w:val="00A15E32"/>
    <w:rsid w:val="00A23AA7"/>
    <w:rsid w:val="00A26110"/>
    <w:rsid w:val="00A27B8F"/>
    <w:rsid w:val="00A3134C"/>
    <w:rsid w:val="00A32B85"/>
    <w:rsid w:val="00A35A10"/>
    <w:rsid w:val="00A36D37"/>
    <w:rsid w:val="00A40AEA"/>
    <w:rsid w:val="00A41273"/>
    <w:rsid w:val="00A43E52"/>
    <w:rsid w:val="00A54735"/>
    <w:rsid w:val="00A56A33"/>
    <w:rsid w:val="00A5732C"/>
    <w:rsid w:val="00A72D23"/>
    <w:rsid w:val="00A72FA2"/>
    <w:rsid w:val="00A75DB9"/>
    <w:rsid w:val="00A75E43"/>
    <w:rsid w:val="00A7665A"/>
    <w:rsid w:val="00A76E52"/>
    <w:rsid w:val="00A86A0F"/>
    <w:rsid w:val="00A87F83"/>
    <w:rsid w:val="00A935C9"/>
    <w:rsid w:val="00A94927"/>
    <w:rsid w:val="00A97037"/>
    <w:rsid w:val="00AA3246"/>
    <w:rsid w:val="00AA7CD6"/>
    <w:rsid w:val="00AB1A6C"/>
    <w:rsid w:val="00AB22DB"/>
    <w:rsid w:val="00AB2B52"/>
    <w:rsid w:val="00AB649C"/>
    <w:rsid w:val="00AC2BE0"/>
    <w:rsid w:val="00AC37D2"/>
    <w:rsid w:val="00AC4B48"/>
    <w:rsid w:val="00AD53C3"/>
    <w:rsid w:val="00AD752F"/>
    <w:rsid w:val="00AE78EE"/>
    <w:rsid w:val="00AF2D28"/>
    <w:rsid w:val="00AF499A"/>
    <w:rsid w:val="00AF60B0"/>
    <w:rsid w:val="00B012FF"/>
    <w:rsid w:val="00B05623"/>
    <w:rsid w:val="00B100DF"/>
    <w:rsid w:val="00B10278"/>
    <w:rsid w:val="00B11393"/>
    <w:rsid w:val="00B114D1"/>
    <w:rsid w:val="00B14CCD"/>
    <w:rsid w:val="00B224B7"/>
    <w:rsid w:val="00B2297E"/>
    <w:rsid w:val="00B455DE"/>
    <w:rsid w:val="00B55D48"/>
    <w:rsid w:val="00B56E76"/>
    <w:rsid w:val="00B6536E"/>
    <w:rsid w:val="00B6559D"/>
    <w:rsid w:val="00B71ECB"/>
    <w:rsid w:val="00B72533"/>
    <w:rsid w:val="00B734CC"/>
    <w:rsid w:val="00B73599"/>
    <w:rsid w:val="00B77B91"/>
    <w:rsid w:val="00B8437E"/>
    <w:rsid w:val="00B84419"/>
    <w:rsid w:val="00B9212C"/>
    <w:rsid w:val="00B92395"/>
    <w:rsid w:val="00B92C05"/>
    <w:rsid w:val="00B93A2D"/>
    <w:rsid w:val="00B9588E"/>
    <w:rsid w:val="00B96E51"/>
    <w:rsid w:val="00BA7C0D"/>
    <w:rsid w:val="00BB10D2"/>
    <w:rsid w:val="00BB35DA"/>
    <w:rsid w:val="00BB412E"/>
    <w:rsid w:val="00BC009B"/>
    <w:rsid w:val="00BC5875"/>
    <w:rsid w:val="00BD0A54"/>
    <w:rsid w:val="00BD15BB"/>
    <w:rsid w:val="00BD506B"/>
    <w:rsid w:val="00BD593E"/>
    <w:rsid w:val="00BD77FE"/>
    <w:rsid w:val="00BE0D12"/>
    <w:rsid w:val="00BE306C"/>
    <w:rsid w:val="00BF21F7"/>
    <w:rsid w:val="00BF40EE"/>
    <w:rsid w:val="00BF7592"/>
    <w:rsid w:val="00BF7AD7"/>
    <w:rsid w:val="00BF7C76"/>
    <w:rsid w:val="00C05E67"/>
    <w:rsid w:val="00C10649"/>
    <w:rsid w:val="00C1338E"/>
    <w:rsid w:val="00C1632C"/>
    <w:rsid w:val="00C355AF"/>
    <w:rsid w:val="00C35F5B"/>
    <w:rsid w:val="00C417ED"/>
    <w:rsid w:val="00C4329A"/>
    <w:rsid w:val="00C44E29"/>
    <w:rsid w:val="00C627B0"/>
    <w:rsid w:val="00C66421"/>
    <w:rsid w:val="00C70AF5"/>
    <w:rsid w:val="00C77777"/>
    <w:rsid w:val="00C82A18"/>
    <w:rsid w:val="00C82D9C"/>
    <w:rsid w:val="00C972CD"/>
    <w:rsid w:val="00C97698"/>
    <w:rsid w:val="00C97F9F"/>
    <w:rsid w:val="00CA4A81"/>
    <w:rsid w:val="00CA5A31"/>
    <w:rsid w:val="00CA65D4"/>
    <w:rsid w:val="00CB0432"/>
    <w:rsid w:val="00CC02A7"/>
    <w:rsid w:val="00CC4D82"/>
    <w:rsid w:val="00CD292D"/>
    <w:rsid w:val="00CD51B5"/>
    <w:rsid w:val="00CD7220"/>
    <w:rsid w:val="00CE4EA1"/>
    <w:rsid w:val="00CE5A62"/>
    <w:rsid w:val="00CE66EA"/>
    <w:rsid w:val="00CE70F0"/>
    <w:rsid w:val="00CE7446"/>
    <w:rsid w:val="00CE7E8B"/>
    <w:rsid w:val="00CF079C"/>
    <w:rsid w:val="00CF2D2D"/>
    <w:rsid w:val="00CF5FAD"/>
    <w:rsid w:val="00CF6CF9"/>
    <w:rsid w:val="00D0343E"/>
    <w:rsid w:val="00D0768A"/>
    <w:rsid w:val="00D1211D"/>
    <w:rsid w:val="00D1259D"/>
    <w:rsid w:val="00D16648"/>
    <w:rsid w:val="00D26390"/>
    <w:rsid w:val="00D265D2"/>
    <w:rsid w:val="00D41740"/>
    <w:rsid w:val="00D43270"/>
    <w:rsid w:val="00D4598C"/>
    <w:rsid w:val="00D462ED"/>
    <w:rsid w:val="00D46E49"/>
    <w:rsid w:val="00D74A63"/>
    <w:rsid w:val="00D80DFF"/>
    <w:rsid w:val="00D8496B"/>
    <w:rsid w:val="00D907BF"/>
    <w:rsid w:val="00D9094A"/>
    <w:rsid w:val="00D9147B"/>
    <w:rsid w:val="00D97335"/>
    <w:rsid w:val="00DA0150"/>
    <w:rsid w:val="00DA05E6"/>
    <w:rsid w:val="00DB0928"/>
    <w:rsid w:val="00DC61C8"/>
    <w:rsid w:val="00DE09E2"/>
    <w:rsid w:val="00DE46EB"/>
    <w:rsid w:val="00DE7692"/>
    <w:rsid w:val="00DF39F1"/>
    <w:rsid w:val="00DF3F10"/>
    <w:rsid w:val="00E0773B"/>
    <w:rsid w:val="00E170EF"/>
    <w:rsid w:val="00E24120"/>
    <w:rsid w:val="00E3480B"/>
    <w:rsid w:val="00E47F0A"/>
    <w:rsid w:val="00E5168F"/>
    <w:rsid w:val="00E555C7"/>
    <w:rsid w:val="00E569AD"/>
    <w:rsid w:val="00E56D55"/>
    <w:rsid w:val="00E641BC"/>
    <w:rsid w:val="00E64457"/>
    <w:rsid w:val="00E80E08"/>
    <w:rsid w:val="00E83FC3"/>
    <w:rsid w:val="00E858E4"/>
    <w:rsid w:val="00E85A8F"/>
    <w:rsid w:val="00E93711"/>
    <w:rsid w:val="00E942BE"/>
    <w:rsid w:val="00E96526"/>
    <w:rsid w:val="00E96C49"/>
    <w:rsid w:val="00EA0C10"/>
    <w:rsid w:val="00EA1F7C"/>
    <w:rsid w:val="00EA1F9F"/>
    <w:rsid w:val="00EA2469"/>
    <w:rsid w:val="00EA3158"/>
    <w:rsid w:val="00EA563A"/>
    <w:rsid w:val="00EA6ACB"/>
    <w:rsid w:val="00EB002C"/>
    <w:rsid w:val="00EB31F4"/>
    <w:rsid w:val="00EB3FEB"/>
    <w:rsid w:val="00EB509A"/>
    <w:rsid w:val="00EB5B36"/>
    <w:rsid w:val="00EC0068"/>
    <w:rsid w:val="00EC0A42"/>
    <w:rsid w:val="00EC10D1"/>
    <w:rsid w:val="00EC34AD"/>
    <w:rsid w:val="00EC37A7"/>
    <w:rsid w:val="00ED3DDA"/>
    <w:rsid w:val="00ED5794"/>
    <w:rsid w:val="00EE7A9A"/>
    <w:rsid w:val="00EF02C7"/>
    <w:rsid w:val="00EF384D"/>
    <w:rsid w:val="00F02FC4"/>
    <w:rsid w:val="00F118C6"/>
    <w:rsid w:val="00F125D6"/>
    <w:rsid w:val="00F131D8"/>
    <w:rsid w:val="00F132DD"/>
    <w:rsid w:val="00F15C33"/>
    <w:rsid w:val="00F17359"/>
    <w:rsid w:val="00F251EE"/>
    <w:rsid w:val="00F3242B"/>
    <w:rsid w:val="00F3432D"/>
    <w:rsid w:val="00F36988"/>
    <w:rsid w:val="00F36ABC"/>
    <w:rsid w:val="00F46559"/>
    <w:rsid w:val="00F47E49"/>
    <w:rsid w:val="00F51C47"/>
    <w:rsid w:val="00F5378D"/>
    <w:rsid w:val="00F57583"/>
    <w:rsid w:val="00F64E88"/>
    <w:rsid w:val="00F75856"/>
    <w:rsid w:val="00F77CF6"/>
    <w:rsid w:val="00F85D1C"/>
    <w:rsid w:val="00F916B8"/>
    <w:rsid w:val="00F9660D"/>
    <w:rsid w:val="00F96E8C"/>
    <w:rsid w:val="00F9714A"/>
    <w:rsid w:val="00FB58AD"/>
    <w:rsid w:val="00FC02D0"/>
    <w:rsid w:val="00FC3902"/>
    <w:rsid w:val="00FC5836"/>
    <w:rsid w:val="00FC5B99"/>
    <w:rsid w:val="00FD2463"/>
    <w:rsid w:val="00FD4731"/>
    <w:rsid w:val="00FE1B9E"/>
    <w:rsid w:val="00FE23CC"/>
    <w:rsid w:val="00FE7189"/>
    <w:rsid w:val="00FF29C1"/>
    <w:rsid w:val="00FF4A93"/>
    <w:rsid w:val="00FF7E94"/>
    <w:rsid w:val="6C350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90B65"/>
  <w15:chartTrackingRefBased/>
  <w15:docId w15:val="{48EA2569-89B1-410F-B4AD-9B9A15C0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583"/>
    <w:rPr>
      <w:color w:val="0563C1" w:themeColor="hyperlink"/>
      <w:u w:val="single"/>
    </w:rPr>
  </w:style>
  <w:style w:type="character" w:styleId="UnresolvedMention">
    <w:name w:val="Unresolved Mention"/>
    <w:basedOn w:val="DefaultParagraphFont"/>
    <w:uiPriority w:val="99"/>
    <w:semiHidden/>
    <w:unhideWhenUsed/>
    <w:rsid w:val="00F57583"/>
    <w:rPr>
      <w:color w:val="605E5C"/>
      <w:shd w:val="clear" w:color="auto" w:fill="E1DFDD"/>
    </w:rPr>
  </w:style>
  <w:style w:type="paragraph" w:styleId="BalloonText">
    <w:name w:val="Balloon Text"/>
    <w:basedOn w:val="Normal"/>
    <w:link w:val="BalloonTextChar"/>
    <w:uiPriority w:val="99"/>
    <w:semiHidden/>
    <w:unhideWhenUsed/>
    <w:rsid w:val="00BD0A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A5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2533"/>
    <w:rPr>
      <w:sz w:val="16"/>
      <w:szCs w:val="16"/>
    </w:rPr>
  </w:style>
  <w:style w:type="paragraph" w:styleId="CommentText">
    <w:name w:val="annotation text"/>
    <w:basedOn w:val="Normal"/>
    <w:link w:val="CommentTextChar"/>
    <w:uiPriority w:val="99"/>
    <w:unhideWhenUsed/>
    <w:rsid w:val="00B72533"/>
    <w:pPr>
      <w:spacing w:line="240" w:lineRule="auto"/>
    </w:pPr>
    <w:rPr>
      <w:sz w:val="20"/>
      <w:szCs w:val="20"/>
    </w:rPr>
  </w:style>
  <w:style w:type="character" w:customStyle="1" w:styleId="CommentTextChar">
    <w:name w:val="Comment Text Char"/>
    <w:basedOn w:val="DefaultParagraphFont"/>
    <w:link w:val="CommentText"/>
    <w:uiPriority w:val="99"/>
    <w:rsid w:val="00B72533"/>
    <w:rPr>
      <w:sz w:val="20"/>
      <w:szCs w:val="20"/>
    </w:rPr>
  </w:style>
  <w:style w:type="paragraph" w:styleId="CommentSubject">
    <w:name w:val="annotation subject"/>
    <w:basedOn w:val="CommentText"/>
    <w:next w:val="CommentText"/>
    <w:link w:val="CommentSubjectChar"/>
    <w:uiPriority w:val="99"/>
    <w:semiHidden/>
    <w:unhideWhenUsed/>
    <w:rsid w:val="00B72533"/>
    <w:rPr>
      <w:b/>
      <w:bCs/>
    </w:rPr>
  </w:style>
  <w:style w:type="character" w:customStyle="1" w:styleId="CommentSubjectChar">
    <w:name w:val="Comment Subject Char"/>
    <w:basedOn w:val="CommentTextChar"/>
    <w:link w:val="CommentSubject"/>
    <w:uiPriority w:val="99"/>
    <w:semiHidden/>
    <w:rsid w:val="00B72533"/>
    <w:rPr>
      <w:b/>
      <w:bCs/>
      <w:sz w:val="20"/>
      <w:szCs w:val="20"/>
    </w:rPr>
  </w:style>
  <w:style w:type="paragraph" w:styleId="Header">
    <w:name w:val="header"/>
    <w:basedOn w:val="Normal"/>
    <w:link w:val="HeaderChar"/>
    <w:uiPriority w:val="99"/>
    <w:unhideWhenUsed/>
    <w:rsid w:val="0032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E8"/>
  </w:style>
  <w:style w:type="paragraph" w:styleId="Footer">
    <w:name w:val="footer"/>
    <w:basedOn w:val="Normal"/>
    <w:link w:val="FooterChar"/>
    <w:uiPriority w:val="99"/>
    <w:unhideWhenUsed/>
    <w:rsid w:val="0032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E8"/>
  </w:style>
  <w:style w:type="paragraph" w:styleId="ListParagraph">
    <w:name w:val="List Paragraph"/>
    <w:basedOn w:val="Normal"/>
    <w:uiPriority w:val="34"/>
    <w:qFormat/>
    <w:rsid w:val="002D7704"/>
    <w:pPr>
      <w:ind w:left="720"/>
      <w:contextualSpacing/>
    </w:pPr>
  </w:style>
  <w:style w:type="paragraph" w:styleId="Revision">
    <w:name w:val="Revision"/>
    <w:hidden/>
    <w:uiPriority w:val="99"/>
    <w:semiHidden/>
    <w:rsid w:val="00261175"/>
    <w:pPr>
      <w:spacing w:after="0" w:line="240" w:lineRule="auto"/>
    </w:pPr>
  </w:style>
  <w:style w:type="character" w:customStyle="1" w:styleId="A5">
    <w:name w:val="A5"/>
    <w:uiPriority w:val="99"/>
    <w:rsid w:val="001935FB"/>
    <w:rPr>
      <w:rFonts w:cs="Poppins Light"/>
      <w:color w:val="000000"/>
      <w:sz w:val="18"/>
      <w:szCs w:val="18"/>
    </w:rPr>
  </w:style>
  <w:style w:type="paragraph" w:customStyle="1" w:styleId="Pa49">
    <w:name w:val="Pa49"/>
    <w:basedOn w:val="Normal"/>
    <w:next w:val="Normal"/>
    <w:uiPriority w:val="99"/>
    <w:rsid w:val="003C3BDE"/>
    <w:pPr>
      <w:autoSpaceDE w:val="0"/>
      <w:autoSpaceDN w:val="0"/>
      <w:adjustRightInd w:val="0"/>
      <w:spacing w:after="0" w:line="161" w:lineRule="atLeast"/>
    </w:pPr>
    <w:rPr>
      <w:rFonts w:ascii="Proxima Nova" w:hAnsi="Proxima Nova"/>
      <w:sz w:val="24"/>
      <w:szCs w:val="24"/>
    </w:rPr>
  </w:style>
  <w:style w:type="paragraph" w:customStyle="1" w:styleId="Pa5">
    <w:name w:val="Pa5"/>
    <w:basedOn w:val="Normal"/>
    <w:next w:val="Normal"/>
    <w:uiPriority w:val="99"/>
    <w:rsid w:val="00CD51B5"/>
    <w:pPr>
      <w:autoSpaceDE w:val="0"/>
      <w:autoSpaceDN w:val="0"/>
      <w:adjustRightInd w:val="0"/>
      <w:spacing w:after="0" w:line="181" w:lineRule="atLeast"/>
    </w:pPr>
    <w:rPr>
      <w:rFonts w:ascii="Poppins Light" w:hAnsi="Poppins Light" w:cs="Times New Roman"/>
      <w:sz w:val="24"/>
      <w:szCs w:val="24"/>
    </w:rPr>
  </w:style>
  <w:style w:type="character" w:customStyle="1" w:styleId="jsgrdq">
    <w:name w:val="jsgrdq"/>
    <w:basedOn w:val="DefaultParagraphFont"/>
    <w:rsid w:val="0032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19282">
      <w:bodyDiv w:val="1"/>
      <w:marLeft w:val="0"/>
      <w:marRight w:val="0"/>
      <w:marTop w:val="0"/>
      <w:marBottom w:val="0"/>
      <w:divBdr>
        <w:top w:val="none" w:sz="0" w:space="0" w:color="auto"/>
        <w:left w:val="none" w:sz="0" w:space="0" w:color="auto"/>
        <w:bottom w:val="none" w:sz="0" w:space="0" w:color="auto"/>
        <w:right w:val="none" w:sz="0" w:space="0" w:color="auto"/>
      </w:divBdr>
    </w:div>
    <w:div w:id="14720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gpartners.com/haig-report" TargetMode="External"/><Relationship Id="rId13" Type="http://schemas.openxmlformats.org/officeDocument/2006/relationships/hyperlink" Target="mailto:alan@haigpartners.com?subject=Q2%202022%20Haig%20Report%20inquiry%20from%20press%20release" TargetMode="External"/><Relationship Id="rId18" Type="http://schemas.openxmlformats.org/officeDocument/2006/relationships/hyperlink" Target="http://www.haigpartner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aigpartners.com" TargetMode="External"/><Relationship Id="rId12" Type="http://schemas.openxmlformats.org/officeDocument/2006/relationships/hyperlink" Target="https://haigpartners.com/transactions/" TargetMode="External"/><Relationship Id="rId17" Type="http://schemas.openxmlformats.org/officeDocument/2006/relationships/hyperlink" Target="https://bit.ly/3fy3oiP" TargetMode="External"/><Relationship Id="rId2" Type="http://schemas.openxmlformats.org/officeDocument/2006/relationships/styles" Target="styles.xml"/><Relationship Id="rId16" Type="http://schemas.openxmlformats.org/officeDocument/2006/relationships/hyperlink" Target="https://bit.ly/38c6eK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igpartners.com/haig-partners-serves-as-exclusive-advisor-on-the-sale-of-john-elways-crown-toyota-to-swickard-auto-group/" TargetMode="External"/><Relationship Id="rId5" Type="http://schemas.openxmlformats.org/officeDocument/2006/relationships/footnotes" Target="footnotes.xml"/><Relationship Id="rId15" Type="http://schemas.openxmlformats.org/officeDocument/2006/relationships/hyperlink" Target="mailto:https://haigpartners.com/meet-our-team/" TargetMode="External"/><Relationship Id="rId10" Type="http://schemas.openxmlformats.org/officeDocument/2006/relationships/hyperlink" Target="http://www.haigpartners.com/haig-report" TargetMode="External"/><Relationship Id="rId19" Type="http://schemas.openxmlformats.org/officeDocument/2006/relationships/hyperlink" Target="mailto:aimee@haigpartners.com" TargetMode="External"/><Relationship Id="rId4" Type="http://schemas.openxmlformats.org/officeDocument/2006/relationships/webSettings" Target="webSettings.xml"/><Relationship Id="rId9" Type="http://schemas.openxmlformats.org/officeDocument/2006/relationships/hyperlink" Target="https://haigpartners.com/haig-partners-serves-as-exclusive-advisor-on-sale-of-lehman-auto-world-and-esserman-international-to-lithia-motors-inc/" TargetMode="External"/><Relationship Id="rId14" Type="http://schemas.openxmlformats.org/officeDocument/2006/relationships/hyperlink" Target="mailto:alan@haigpartner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1989</Words>
  <Characters>10145</Characters>
  <Application>Microsoft Office Word</Application>
  <DocSecurity>0</DocSecurity>
  <Lines>161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9</cp:revision>
  <cp:lastPrinted>2022-08-25T14:27:00Z</cp:lastPrinted>
  <dcterms:created xsi:type="dcterms:W3CDTF">2022-08-25T15:45:00Z</dcterms:created>
  <dcterms:modified xsi:type="dcterms:W3CDTF">2022-08-26T12:38:00Z</dcterms:modified>
</cp:coreProperties>
</file>